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3D25C" w14:textId="77777777" w:rsidR="00614D92" w:rsidRDefault="00665D4A">
      <w:pPr>
        <w:pBdr>
          <w:bottom w:val="single" w:sz="6" w:space="4" w:color="1F4E79"/>
        </w:pBdr>
        <w:spacing w:after="40"/>
      </w:pPr>
      <w:r>
        <w:rPr>
          <w:b/>
          <w:bCs/>
          <w:color w:val="1F4E79"/>
        </w:rPr>
        <w:t>Annals of Clinical Medicine and Health Research</w:t>
      </w:r>
    </w:p>
    <w:p w14:paraId="4689CDCA" w14:textId="6EBD5F9C" w:rsidR="00614D92" w:rsidRDefault="00E07D92">
      <w:pPr>
        <w:spacing w:after="240"/>
      </w:pPr>
      <w:r>
        <w:rPr>
          <w:color w:val="595959"/>
          <w:sz w:val="18"/>
          <w:szCs w:val="18"/>
        </w:rPr>
        <w:t>Volume 1, Issue 1, 2025</w:t>
      </w:r>
      <w:bookmarkStart w:id="0" w:name="_GoBack"/>
      <w:bookmarkEnd w:id="0"/>
    </w:p>
    <w:p w14:paraId="2FA8AB54" w14:textId="77777777" w:rsidR="00614D92" w:rsidRDefault="00665D4A">
      <w:pPr>
        <w:spacing w:after="160"/>
      </w:pPr>
      <w:r>
        <w:rPr>
          <w:b/>
          <w:bCs/>
          <w:color w:val="000000"/>
          <w:sz w:val="32"/>
          <w:szCs w:val="32"/>
        </w:rPr>
        <w:t xml:space="preserve">Lifestyle, Hygiene, and Behavioural Risk Factors for Urinary Tract Infections and HIV </w:t>
      </w:r>
      <w:proofErr w:type="gramStart"/>
      <w:r>
        <w:rPr>
          <w:b/>
          <w:bCs/>
          <w:color w:val="000000"/>
          <w:sz w:val="32"/>
          <w:szCs w:val="32"/>
        </w:rPr>
        <w:t>Among</w:t>
      </w:r>
      <w:proofErr w:type="gramEnd"/>
      <w:r>
        <w:rPr>
          <w:b/>
          <w:bCs/>
          <w:color w:val="000000"/>
          <w:sz w:val="32"/>
          <w:szCs w:val="32"/>
        </w:rPr>
        <w:t xml:space="preserve"> Women in Central Asia</w:t>
      </w:r>
    </w:p>
    <w:p w14:paraId="74C19366" w14:textId="1020B3DC" w:rsidR="00614D92" w:rsidRDefault="002C06F2">
      <w:pPr>
        <w:spacing w:after="40"/>
      </w:pPr>
      <w:proofErr w:type="spellStart"/>
      <w:r w:rsidRPr="002C06F2">
        <w:rPr>
          <w:b/>
          <w:bCs/>
        </w:rPr>
        <w:t>Riyan</w:t>
      </w:r>
      <w:proofErr w:type="spellEnd"/>
      <w:r w:rsidRPr="002C06F2">
        <w:rPr>
          <w:b/>
          <w:bCs/>
        </w:rPr>
        <w:t xml:space="preserve"> </w:t>
      </w:r>
      <w:proofErr w:type="spellStart"/>
      <w:r w:rsidRPr="002C06F2">
        <w:rPr>
          <w:b/>
          <w:bCs/>
        </w:rPr>
        <w:t>Athar</w:t>
      </w:r>
      <w:proofErr w:type="spellEnd"/>
      <w:r w:rsidR="00665D4A">
        <w:rPr>
          <w:vertAlign w:val="superscript"/>
        </w:rPr>
        <w:t>*</w:t>
      </w:r>
    </w:p>
    <w:p w14:paraId="740E0B53" w14:textId="72915525" w:rsidR="00614D92" w:rsidRDefault="002C06F2" w:rsidP="002C06F2">
      <w:pPr>
        <w:spacing w:after="40"/>
        <w:rPr>
          <w:i/>
          <w:iCs/>
          <w:color w:val="595959"/>
          <w:sz w:val="18"/>
          <w:szCs w:val="18"/>
        </w:rPr>
      </w:pPr>
      <w:proofErr w:type="spellStart"/>
      <w:r w:rsidRPr="002C06F2">
        <w:rPr>
          <w:i/>
          <w:iCs/>
          <w:color w:val="595959"/>
          <w:sz w:val="18"/>
          <w:szCs w:val="18"/>
        </w:rPr>
        <w:t>Asfendiyarov</w:t>
      </w:r>
      <w:proofErr w:type="spellEnd"/>
      <w:r w:rsidRPr="002C06F2">
        <w:rPr>
          <w:i/>
          <w:iCs/>
          <w:color w:val="595959"/>
          <w:sz w:val="18"/>
          <w:szCs w:val="18"/>
        </w:rPr>
        <w:t xml:space="preserve"> Kazakh National Medical University</w:t>
      </w:r>
    </w:p>
    <w:p w14:paraId="4C7C63F4" w14:textId="77777777" w:rsidR="002C06F2" w:rsidRDefault="002C06F2" w:rsidP="002C06F2">
      <w:pPr>
        <w:spacing w:after="40"/>
      </w:pPr>
    </w:p>
    <w:p w14:paraId="6A409D45" w14:textId="77777777" w:rsidR="00614D92" w:rsidRDefault="00665D4A">
      <w:pPr>
        <w:pBdr>
          <w:left w:val="single" w:sz="18" w:space="8" w:color="1F4E79"/>
        </w:pBdr>
        <w:shd w:val="clear" w:color="auto" w:fill="F2F6FA"/>
        <w:spacing w:before="120" w:after="120"/>
      </w:pPr>
      <w:r>
        <w:rPr>
          <w:b/>
          <w:bCs/>
          <w:color w:val="1F4E79"/>
          <w:sz w:val="24"/>
          <w:szCs w:val="24"/>
        </w:rPr>
        <w:t>Abstract</w:t>
      </w:r>
    </w:p>
    <w:p w14:paraId="4BDE6058" w14:textId="77777777" w:rsidR="00614D92" w:rsidRDefault="00665D4A">
      <w:pPr>
        <w:pBdr>
          <w:left w:val="single" w:sz="18" w:space="8" w:color="1F4E79"/>
        </w:pBdr>
        <w:shd w:val="clear" w:color="auto" w:fill="F2F6FA"/>
        <w:spacing w:after="120" w:line="264" w:lineRule="auto"/>
        <w:jc w:val="both"/>
      </w:pPr>
      <w:r>
        <w:rPr>
          <w:b/>
          <w:bCs/>
          <w:sz w:val="20"/>
          <w:szCs w:val="20"/>
        </w:rPr>
        <w:t xml:space="preserve">Background. </w:t>
      </w:r>
      <w:r>
        <w:rPr>
          <w:sz w:val="20"/>
          <w:szCs w:val="20"/>
        </w:rPr>
        <w:t>Women in Central Asia bear a substantial burd</w:t>
      </w:r>
      <w:r>
        <w:rPr>
          <w:sz w:val="20"/>
          <w:szCs w:val="20"/>
        </w:rPr>
        <w:t>en of two distinct infectious conditions: urinary tract infections (UTIs), the most common bacterial infection in women, and HIV, in a region where the epidemic continues to grow. The two have fundamentally different transmission routes and risk factors, y</w:t>
      </w:r>
      <w:r>
        <w:rPr>
          <w:sz w:val="20"/>
          <w:szCs w:val="20"/>
        </w:rPr>
        <w:t>et both are shaped by gendered social and structural determinants.</w:t>
      </w:r>
    </w:p>
    <w:p w14:paraId="2D22E89C" w14:textId="77777777" w:rsidR="00614D92" w:rsidRDefault="00665D4A">
      <w:pPr>
        <w:pBdr>
          <w:left w:val="single" w:sz="18" w:space="8" w:color="1F4E79"/>
        </w:pBdr>
        <w:shd w:val="clear" w:color="auto" w:fill="F2F6FA"/>
        <w:spacing w:after="120" w:line="264" w:lineRule="auto"/>
        <w:jc w:val="both"/>
      </w:pPr>
      <w:r>
        <w:rPr>
          <w:b/>
          <w:bCs/>
          <w:sz w:val="20"/>
          <w:szCs w:val="20"/>
        </w:rPr>
        <w:t xml:space="preserve">Objective. </w:t>
      </w:r>
      <w:r>
        <w:rPr>
          <w:sz w:val="20"/>
          <w:szCs w:val="20"/>
        </w:rPr>
        <w:t>To synthesise the lifestyle, hygiene, behavioural, and structural risk factors for UTIs and for HIV among women in Central Asia, treating each condition according to its own biol</w:t>
      </w:r>
      <w:r>
        <w:rPr>
          <w:sz w:val="20"/>
          <w:szCs w:val="20"/>
        </w:rPr>
        <w:t>ogy while examining the shared determinants and the implications for prevention.</w:t>
      </w:r>
    </w:p>
    <w:p w14:paraId="2F427DF1" w14:textId="77777777" w:rsidR="00614D92" w:rsidRDefault="00665D4A">
      <w:pPr>
        <w:pBdr>
          <w:left w:val="single" w:sz="18" w:space="8" w:color="1F4E79"/>
        </w:pBdr>
        <w:shd w:val="clear" w:color="auto" w:fill="F2F6FA"/>
        <w:spacing w:after="120" w:line="264" w:lineRule="auto"/>
        <w:jc w:val="both"/>
      </w:pPr>
      <w:r>
        <w:rPr>
          <w:b/>
          <w:bCs/>
          <w:sz w:val="20"/>
          <w:szCs w:val="20"/>
        </w:rPr>
        <w:t xml:space="preserve">Methods. </w:t>
      </w:r>
      <w:r>
        <w:rPr>
          <w:sz w:val="20"/>
          <w:szCs w:val="20"/>
        </w:rPr>
        <w:t xml:space="preserve">We conducted a structured synthesis of published evidence, prioritising regional surveillance and cohort studies—including the DARMIS-2018 </w:t>
      </w:r>
      <w:proofErr w:type="spellStart"/>
      <w:r>
        <w:rPr>
          <w:sz w:val="20"/>
          <w:szCs w:val="20"/>
        </w:rPr>
        <w:t>uropathogen</w:t>
      </w:r>
      <w:proofErr w:type="spellEnd"/>
      <w:r>
        <w:rPr>
          <w:sz w:val="20"/>
          <w:szCs w:val="20"/>
        </w:rPr>
        <w:t xml:space="preserve"> study and Centr</w:t>
      </w:r>
      <w:r>
        <w:rPr>
          <w:sz w:val="20"/>
          <w:szCs w:val="20"/>
        </w:rPr>
        <w:t>al Asian HIV cohorts—alongside UNAIDS regional estimates and the international literature.</w:t>
      </w:r>
    </w:p>
    <w:p w14:paraId="24E65527" w14:textId="77777777" w:rsidR="00614D92" w:rsidRDefault="00665D4A">
      <w:pPr>
        <w:pBdr>
          <w:left w:val="single" w:sz="18" w:space="8" w:color="1F4E79"/>
        </w:pBdr>
        <w:shd w:val="clear" w:color="auto" w:fill="F2F6FA"/>
        <w:spacing w:after="120" w:line="264" w:lineRule="auto"/>
        <w:jc w:val="both"/>
      </w:pPr>
      <w:r>
        <w:rPr>
          <w:b/>
          <w:bCs/>
          <w:sz w:val="20"/>
          <w:szCs w:val="20"/>
        </w:rPr>
        <w:t xml:space="preserve">Results. </w:t>
      </w:r>
      <w:r>
        <w:rPr>
          <w:sz w:val="20"/>
          <w:szCs w:val="20"/>
        </w:rPr>
        <w:t>For UTIs, lifetime risk in adult women is approximately 40–60%, with hygiene- and lifestyle-related factors (sexual activity, voiding behaviour, contracepti</w:t>
      </w:r>
      <w:r>
        <w:rPr>
          <w:sz w:val="20"/>
          <w:szCs w:val="20"/>
        </w:rPr>
        <w:t>ve method, post-menopausal changes) and Escherichia coli predominance (around 75–90% of uncomplicated cases). For HIV, the Eastern Europe and Central Asia region recorded an estimated 140,000 new infections in 2023—a 20% rise since 2010—driven historically</w:t>
      </w:r>
      <w:r>
        <w:rPr>
          <w:sz w:val="20"/>
          <w:szCs w:val="20"/>
        </w:rPr>
        <w:t xml:space="preserve"> by injection drug use and increasingly by sexual transmission; women are most often infected through their own injecting or that of male partners, with HIV prevalence reported as high as 30% among female partners who inject drugs in one Almaty study. The </w:t>
      </w:r>
      <w:r>
        <w:rPr>
          <w:sz w:val="20"/>
          <w:szCs w:val="20"/>
        </w:rPr>
        <w:t>risk factors for the two conditions are largely non-overlapping.</w:t>
      </w:r>
    </w:p>
    <w:p w14:paraId="335D8166" w14:textId="77777777" w:rsidR="00614D92" w:rsidRDefault="00665D4A">
      <w:pPr>
        <w:pBdr>
          <w:left w:val="single" w:sz="18" w:space="8" w:color="1F4E79"/>
        </w:pBdr>
        <w:shd w:val="clear" w:color="auto" w:fill="F2F6FA"/>
        <w:spacing w:after="120" w:line="264" w:lineRule="auto"/>
        <w:jc w:val="both"/>
      </w:pPr>
      <w:r>
        <w:rPr>
          <w:b/>
          <w:bCs/>
          <w:sz w:val="20"/>
          <w:szCs w:val="20"/>
        </w:rPr>
        <w:t xml:space="preserve">Conclusion. </w:t>
      </w:r>
      <w:r>
        <w:rPr>
          <w:sz w:val="20"/>
          <w:szCs w:val="20"/>
        </w:rPr>
        <w:t>UTIs and HIV in Central Asian women require distinct, biologically appropriate prevention strategies—hygiene, behavioural, and stewardship measures for UTI; harm reduction, condom</w:t>
      </w:r>
      <w:r>
        <w:rPr>
          <w:sz w:val="20"/>
          <w:szCs w:val="20"/>
        </w:rPr>
        <w:t xml:space="preserve"> access, testing, and treatment for HIV—linked by attention to the shared social determinants of women’s vulnerability. Conflating the two, or attributing HIV to hygiene, is both scientifically incorrect and stigmatising.</w:t>
      </w:r>
    </w:p>
    <w:p w14:paraId="253A03CB" w14:textId="77777777" w:rsidR="00614D92" w:rsidRDefault="00665D4A">
      <w:pPr>
        <w:spacing w:before="160" w:after="240"/>
      </w:pPr>
      <w:r>
        <w:rPr>
          <w:b/>
          <w:bCs/>
        </w:rPr>
        <w:t xml:space="preserve">Keywords: </w:t>
      </w:r>
      <w:r>
        <w:t>Urinary tract infection;</w:t>
      </w:r>
      <w:r>
        <w:t xml:space="preserve"> HIV; women; Central Asia; risk factors; hygiene; harm reduction; social determinants.</w:t>
      </w:r>
    </w:p>
    <w:p w14:paraId="3DB03F24" w14:textId="77777777" w:rsidR="00614D92" w:rsidRDefault="00665D4A">
      <w:pPr>
        <w:pStyle w:val="Heading1"/>
      </w:pPr>
      <w:r>
        <w:t>1. Introduction</w:t>
      </w:r>
    </w:p>
    <w:p w14:paraId="2D730AFE" w14:textId="77777777" w:rsidR="00614D92" w:rsidRDefault="00665D4A">
      <w:pPr>
        <w:spacing w:after="160" w:line="276" w:lineRule="auto"/>
        <w:jc w:val="both"/>
      </w:pPr>
      <w:r>
        <w:t>Women in Central Asia—Kazakhstan, Kyrgyzstan, Tajikistan, Turkmenistan, and Uzbekistan—face a complex infectious-disease landscape in which two condition</w:t>
      </w:r>
      <w:r>
        <w:t>s stand out for their burden and their gendered impact: urinary tract infections (UTIs) and HIV. Although both disproportionately affect women, they are biologically and epidemiologically distinct, and it is essential to treat them as such.</w:t>
      </w:r>
    </w:p>
    <w:p w14:paraId="31796D9E" w14:textId="77777777" w:rsidR="00614D92" w:rsidRDefault="00665D4A">
      <w:pPr>
        <w:spacing w:after="160" w:line="276" w:lineRule="auto"/>
        <w:jc w:val="both"/>
      </w:pPr>
      <w:r>
        <w:t>UTIs are common</w:t>
      </w:r>
      <w:r>
        <w:t xml:space="preserve"> ascending bacterial infections, caused predominantly by </w:t>
      </w:r>
      <w:proofErr w:type="spellStart"/>
      <w:r>
        <w:t>uropathogenic</w:t>
      </w:r>
      <w:proofErr w:type="spellEnd"/>
      <w:r>
        <w:t xml:space="preserve"> Escherichia coli, in which anatomical, hygiene, and lifestyle factors genuinely contribute to risk. </w:t>
      </w:r>
      <w:r>
        <w:lastRenderedPageBreak/>
        <w:t>HIV, by contrast, is a bloodborne and sexually transmitted viral infection acquired t</w:t>
      </w:r>
      <w:r>
        <w:t xml:space="preserve">hrough unprotected sex, sharing of injecting equipment, or vertical (mother-to-child) transmission. Crucially, HIV is </w:t>
      </w:r>
      <w:r>
        <w:rPr>
          <w:i/>
          <w:iCs/>
        </w:rPr>
        <w:t>not</w:t>
      </w:r>
      <w:r>
        <w:t xml:space="preserve"> a hygiene-related disease; framing it as such is both scientifically incorrect and stigmatising, and it risks diverting prevention tow</w:t>
      </w:r>
      <w:r>
        <w:t>ard measures that cannot work. This article therefore examines each condition according to its own transmission biology and risk-factor profile, while recognising that both are shaped by shared upstream determinants—gender inequality, poverty, limited acce</w:t>
      </w:r>
      <w:r>
        <w:t>ss to health services, and stigma—that increase women’s vulnerability.</w:t>
      </w:r>
    </w:p>
    <w:p w14:paraId="1A6F1AD8" w14:textId="77777777" w:rsidR="00614D92" w:rsidRDefault="00665D4A">
      <w:pPr>
        <w:spacing w:after="160" w:line="276" w:lineRule="auto"/>
        <w:jc w:val="both"/>
      </w:pPr>
      <w:r>
        <w:t>The rationale for considering the two together is pragmatic rather than mechanistic. Both are priorities for women’s health in the region; both intersect with sexual and reproductive he</w:t>
      </w:r>
      <w:r>
        <w:t xml:space="preserve">alth services; and both are amenable to prevention strategies that, although different in content, can be delivered through overlapping platforms. By drawing on regional surveillance and cohort data alongside the international literature, this review aims </w:t>
      </w:r>
      <w:r>
        <w:t>to clarify what actually drives each condition in Central Asian women and what that implies for prevention and care.</w:t>
      </w:r>
    </w:p>
    <w:p w14:paraId="33659F25" w14:textId="77777777" w:rsidR="00614D92" w:rsidRDefault="00665D4A">
      <w:pPr>
        <w:spacing w:after="160" w:line="276" w:lineRule="auto"/>
        <w:jc w:val="both"/>
      </w:pPr>
      <w:r>
        <w:t xml:space="preserve">The distinction also matters because the two conditions sit at very different points on the spectrum of severity and chronicity. A UTI is </w:t>
      </w:r>
      <w:r>
        <w:t>typically an acute, self-limiting or readily treatable episode, albeit one that recurs in a substantial minority of women and that is increasingly complicated by antimicrobial resistance. HIV, untreated, is a chronic progressive infection that—without anti</w:t>
      </w:r>
      <w:r>
        <w:t>retroviral therapy—leads to immune failure and death, but that, with treatment, becomes a manageable lifelong condition with normal life expectancy and negligible onward transmission risk when viral load is suppressed. The clinical stakes, the time horizon</w:t>
      </w:r>
      <w:r>
        <w:t>s, and the prevention paradigms thus differ profoundly, and a review that blurred them would mislead. The sections that follow therefore treat each condition in turn before drawing out the shared determinants and the case for integrated, yet condition-appr</w:t>
      </w:r>
      <w:r>
        <w:t>opriate, service delivery.</w:t>
      </w:r>
    </w:p>
    <w:p w14:paraId="5C971DA4" w14:textId="77777777" w:rsidR="00614D92" w:rsidRDefault="00665D4A">
      <w:pPr>
        <w:pStyle w:val="Heading1"/>
      </w:pPr>
      <w:r>
        <w:t>2. Methods and Materials</w:t>
      </w:r>
    </w:p>
    <w:p w14:paraId="2C58F632" w14:textId="77777777" w:rsidR="00614D92" w:rsidRDefault="00665D4A">
      <w:pPr>
        <w:spacing w:after="160" w:line="276" w:lineRule="auto"/>
        <w:jc w:val="both"/>
      </w:pPr>
      <w:r>
        <w:t>This article is a structured synthesis of published, aggregate evidence rather than a report of a new primary cohort. Sources were identified through PubMed/MEDLINE, Web of Science, and Google Scholar, an</w:t>
      </w:r>
      <w:r>
        <w:t xml:space="preserve">d through UNAIDS regional reports, using combinations of the terms </w:t>
      </w:r>
      <w:r>
        <w:rPr>
          <w:i/>
          <w:iCs/>
        </w:rPr>
        <w:t>“urinary tract infection,” “HIV,” “women,” “Central Asia,” “Kazakhstan,” “risk factors,” “hygiene,” “injection drug use,” “antimicrobial resistance,”</w:t>
      </w:r>
      <w:r>
        <w:t xml:space="preserve"> and </w:t>
      </w:r>
      <w:r>
        <w:rPr>
          <w:i/>
          <w:iCs/>
        </w:rPr>
        <w:t>“harm reduction.”</w:t>
      </w:r>
    </w:p>
    <w:p w14:paraId="6BE998EE" w14:textId="77777777" w:rsidR="00614D92" w:rsidRDefault="00665D4A">
      <w:pPr>
        <w:spacing w:after="160" w:line="276" w:lineRule="auto"/>
        <w:jc w:val="both"/>
      </w:pPr>
      <w:r>
        <w:t>For UTI, priority</w:t>
      </w:r>
      <w:r>
        <w:t xml:space="preserve"> was given to large epidemiological reviews and to regional surveillance, notably the DARMIS-2018 multicentre </w:t>
      </w:r>
      <w:proofErr w:type="spellStart"/>
      <w:r>
        <w:t>uropathogen</w:t>
      </w:r>
      <w:proofErr w:type="spellEnd"/>
      <w:r>
        <w:t xml:space="preserve"> study spanning Russia, Belarus, and Kazakhstan, and a Kazakh </w:t>
      </w:r>
      <w:proofErr w:type="spellStart"/>
      <w:r>
        <w:t>uropathogen</w:t>
      </w:r>
      <w:proofErr w:type="spellEnd"/>
      <w:r>
        <w:t>-resistance cohort.</w:t>
      </w:r>
      <w:r>
        <w:rPr>
          <w:vertAlign w:val="superscript"/>
        </w:rPr>
        <w:t>1,2</w:t>
      </w:r>
      <w:r>
        <w:t xml:space="preserve"> For HIV, priority was given to UNAIDS r</w:t>
      </w:r>
      <w:r>
        <w:t>egional estimates for Eastern Europe and Central Asia and to peer-reviewed Central Asian cohort and behavioural studies.</w:t>
      </w:r>
      <w:r>
        <w:rPr>
          <w:vertAlign w:val="superscript"/>
        </w:rPr>
        <w:t>3,4,5</w:t>
      </w:r>
      <w:r>
        <w:t xml:space="preserve"> Reported figures are those published in the source studies; no new statistical analysis of patient-level data was performed. As th</w:t>
      </w:r>
      <w:r>
        <w:t>e work uses only published, de-identified aggregate data, ethical approval was not required.</w:t>
      </w:r>
    </w:p>
    <w:p w14:paraId="7B9CC836" w14:textId="77777777" w:rsidR="00614D92" w:rsidRDefault="00665D4A">
      <w:pPr>
        <w:pStyle w:val="Heading1"/>
      </w:pPr>
      <w:r>
        <w:t>3. Results</w:t>
      </w:r>
    </w:p>
    <w:p w14:paraId="48B9B315" w14:textId="77777777" w:rsidR="00614D92" w:rsidRDefault="00665D4A">
      <w:pPr>
        <w:pStyle w:val="Heading2"/>
      </w:pPr>
      <w:r>
        <w:t>3.1 Urinary tract infections: burden in women</w:t>
      </w:r>
    </w:p>
    <w:p w14:paraId="17180306" w14:textId="77777777" w:rsidR="00614D92" w:rsidRDefault="00665D4A">
      <w:pPr>
        <w:spacing w:after="160" w:line="276" w:lineRule="auto"/>
        <w:jc w:val="both"/>
      </w:pPr>
      <w:r>
        <w:lastRenderedPageBreak/>
        <w:t>UTIs are the most common bacterial infection in women. Approximately 40–60% of adult women experience at l</w:t>
      </w:r>
      <w:r>
        <w:t>east one UTI in their lifetime, the annual incidence of physician-diagnosed UTI exceeds 10% in women, and 30–44% of those affected experience recurrence.</w:t>
      </w:r>
      <w:r>
        <w:rPr>
          <w:vertAlign w:val="superscript"/>
        </w:rPr>
        <w:t>6,7</w:t>
      </w:r>
      <w:r>
        <w:t xml:space="preserve"> Prevalence rises with age, roughly doubling in women over 65 relative to the overall female populat</w:t>
      </w:r>
      <w:r>
        <w:t xml:space="preserve">ion, and acute cystitis peaks in young, sexually active women. </w:t>
      </w:r>
      <w:proofErr w:type="spellStart"/>
      <w:r>
        <w:t>Uropathogenic</w:t>
      </w:r>
      <w:proofErr w:type="spellEnd"/>
      <w:r>
        <w:t xml:space="preserve"> E. coli causes around 75–90% of uncomplicated community-acquired infections.</w:t>
      </w:r>
      <w:r>
        <w:rPr>
          <w:vertAlign w:val="superscript"/>
        </w:rPr>
        <w:t>8</w:t>
      </w:r>
    </w:p>
    <w:p w14:paraId="0F38C138" w14:textId="77777777" w:rsidR="00614D92" w:rsidRDefault="00665D4A">
      <w:pPr>
        <w:spacing w:after="160" w:line="276" w:lineRule="auto"/>
        <w:jc w:val="both"/>
      </w:pPr>
      <w:r>
        <w:t xml:space="preserve">The clinical spectrum runs from asymptomatic bacteriuria—generally not treated except in pregnancy—through uncomplicated cystitis to pyelonephritis, which, though less common, carries a substantial risk of hospitalisation. Recurrence is a defining feature </w:t>
      </w:r>
      <w:r>
        <w:t>in women: nearly half of those with a first infection experience a second within a year, and a sizeable minority meet the definition of recurrent UTI (three episodes in twelve months or two within six). The propensity to recur is partly explained by the ab</w:t>
      </w:r>
      <w:r>
        <w:t xml:space="preserve">ility of </w:t>
      </w:r>
      <w:proofErr w:type="spellStart"/>
      <w:r>
        <w:t>uropathogenic</w:t>
      </w:r>
      <w:proofErr w:type="spellEnd"/>
      <w:r>
        <w:t xml:space="preserve"> E. coli to form intracellular bacterial communities within the bladder epithelium, establishing a reservoir that ordinary therapy may not eradicate.</w:t>
      </w:r>
      <w:r>
        <w:rPr>
          <w:vertAlign w:val="superscript"/>
        </w:rPr>
        <w:t>6</w:t>
      </w:r>
      <w:r>
        <w:t xml:space="preserve"> For women in Central Asia, as elsewhere, this means UTI is not a single acute event</w:t>
      </w:r>
      <w:r>
        <w:t xml:space="preserve"> but, for many, a recurring burden with cumulative effects on quality of life and healthcare use.</w:t>
      </w:r>
    </w:p>
    <w:p w14:paraId="0F593220" w14:textId="77777777" w:rsidR="00614D92" w:rsidRDefault="00665D4A">
      <w:pPr>
        <w:pStyle w:val="Heading2"/>
      </w:pPr>
      <w:r>
        <w:t>3.2 UTI: lifestyle and hygiene risk factors</w:t>
      </w:r>
    </w:p>
    <w:p w14:paraId="6BE4B29D" w14:textId="77777777" w:rsidR="00614D92" w:rsidRDefault="00665D4A">
      <w:pPr>
        <w:spacing w:after="160" w:line="276" w:lineRule="auto"/>
        <w:jc w:val="both"/>
      </w:pPr>
      <w:r>
        <w:t>For UTIs, lifestyle and hygiene factors are genuinely part of the causal picture, operating through their effect o</w:t>
      </w:r>
      <w:r>
        <w:t>n bacterial colonisation and ascent. In premenopausal women, sexual intercourse is a major precipitant, promoting migration of periurethral and vaginal flora into the bladder; use of spermicides and the diaphragm further raises risk by altering vaginal flo</w:t>
      </w:r>
      <w:r>
        <w:t>ra.</w:t>
      </w:r>
      <w:r>
        <w:rPr>
          <w:vertAlign w:val="superscript"/>
        </w:rPr>
        <w:t>6,9</w:t>
      </w:r>
      <w:r>
        <w:t xml:space="preserve"> Voiding behaviour matters: infrequent or incomplete bladder emptying favours infection, whereas frequent, complete voiding—including post-coital voiding—is protective. Adequate hydration and, by extension, urine flow are also relevant.</w:t>
      </w:r>
    </w:p>
    <w:p w14:paraId="3FA52BB1" w14:textId="77777777" w:rsidR="00614D92" w:rsidRDefault="00665D4A">
      <w:pPr>
        <w:spacing w:after="160" w:line="276" w:lineRule="auto"/>
        <w:jc w:val="both"/>
      </w:pPr>
      <w:r>
        <w:t>The mechanism</w:t>
      </w:r>
      <w:r>
        <w:t xml:space="preserve"> linking these factors is consistent: anything that increases delivery of </w:t>
      </w:r>
      <w:proofErr w:type="spellStart"/>
      <w:r>
        <w:t>uropathogens</w:t>
      </w:r>
      <w:proofErr w:type="spellEnd"/>
      <w:r>
        <w:t xml:space="preserve"> to the urethral meatus, or that prolongs their residence in the bladder, raises risk. Sexual frequency, new sexual partners, and a personal or maternal history of UTI ar</w:t>
      </w:r>
      <w:r>
        <w:t xml:space="preserve">e among the most consistently reported correlates of both initial and recurrent infection in young women. Contraceptive choice is modifiable and clinically actionable—switching from a spermicide-based or diaphragm method in a woman with recurrent UTI is a </w:t>
      </w:r>
      <w:r>
        <w:t>concrete intervention. In the regional context, the timing of these risks across the reproductive life course intersects with marriage and childbearing patterns, so that the period of greatest UTI incidence often coincides with early married life and pregn</w:t>
      </w:r>
      <w:r>
        <w:t>ancy, when prompt and accurate diagnosis is especially important because asymptomatic bacteriuria in pregnancy warrants screening and treatment.</w:t>
      </w:r>
    </w:p>
    <w:p w14:paraId="3E8A0C7A" w14:textId="77777777" w:rsidR="00614D92" w:rsidRDefault="00665D4A">
      <w:pPr>
        <w:spacing w:after="160" w:line="276" w:lineRule="auto"/>
        <w:jc w:val="both"/>
      </w:pPr>
      <w:r>
        <w:t>In postmenopausal and older women, the dominant factors shift to oestrogen deficiency, altered vaginal flora, i</w:t>
      </w:r>
      <w:r>
        <w:t>ncomplete emptying, and functional impairment, with catheterisation a principal driver of complicated infection. Across the life course, diabetes mellitus, pregnancy, obesity, and immunosuppression increase susceptibility.</w:t>
      </w:r>
      <w:r>
        <w:rPr>
          <w:vertAlign w:val="superscript"/>
        </w:rPr>
        <w:t>6</w:t>
      </w:r>
      <w:r>
        <w:t xml:space="preserve"> Genuine hygiene practices—such a</w:t>
      </w:r>
      <w:r>
        <w:t>s front-to-back wiping and appropriate menstrual and peri-genital hygiene—are commonly advised, though the evidence base for some specific measures is modest; the strongest behavioural levers remain voiding habits, hydration, and contraceptive choice rathe</w:t>
      </w:r>
      <w:r>
        <w:t>r than washing practices per se. This nuance matters: overstating hygiene can shift blame onto women without reducing infection.</w:t>
      </w:r>
    </w:p>
    <w:p w14:paraId="510D82BB" w14:textId="77777777" w:rsidR="00614D92" w:rsidRDefault="00665D4A">
      <w:pPr>
        <w:spacing w:after="160" w:line="276" w:lineRule="auto"/>
        <w:jc w:val="both"/>
      </w:pPr>
      <w:r>
        <w:lastRenderedPageBreak/>
        <w:t>This last point deserves emphasis in a regional context where cultural norms around women’s hygiene and modesty are strong. Hea</w:t>
      </w:r>
      <w:r>
        <w:t>lth messaging that frames UTI primarily as a failure of cleanliness risks both ineffectiveness and harm: it can induce shame, discourage care-seeking, and divert attention from the interventions that actually work. A more accurate framing presents UTI as a</w:t>
      </w:r>
      <w:r>
        <w:t xml:space="preserve"> common consequence of female anatomy and ordinary behaviours—one that can be reduced through practical measures and treated effectively—rather than as a moral or hygienic shortcoming. Access to clean water and sanitation does influence exposure to </w:t>
      </w:r>
      <w:proofErr w:type="spellStart"/>
      <w:r>
        <w:t>uropath</w:t>
      </w:r>
      <w:r>
        <w:t>ogens</w:t>
      </w:r>
      <w:proofErr w:type="spellEnd"/>
      <w:r>
        <w:t xml:space="preserve"> at the population level, so genuine improvements in water and sanitation infrastructure are relevant; but at the individual level the evidence points to voiding, hydration, and contraceptive factors as the principal modifiable contributors. Distingui</w:t>
      </w:r>
      <w:r>
        <w:t>shing real from spurious hygiene advice is therefore part of good clinical communication.</w:t>
      </w:r>
    </w:p>
    <w:p w14:paraId="0E5D14AE" w14:textId="77777777" w:rsidR="00614D92" w:rsidRDefault="00665D4A">
      <w:pPr>
        <w:pStyle w:val="Heading2"/>
      </w:pPr>
      <w:r>
        <w:t>3.3 UTI: causative organisms and resistance in the region</w:t>
      </w:r>
    </w:p>
    <w:p w14:paraId="23EF1B66" w14:textId="77777777" w:rsidR="00614D92" w:rsidRDefault="00665D4A">
      <w:pPr>
        <w:spacing w:after="160" w:line="276" w:lineRule="auto"/>
        <w:jc w:val="both"/>
      </w:pPr>
      <w:r>
        <w:t>Regional microbiological data mirror the global picture. In the DARMIS-2018 study of community-acquired UTIs</w:t>
      </w:r>
      <w:r>
        <w:t xml:space="preserve"> across Russia, Belarus, and Kazakhstan, </w:t>
      </w:r>
      <w:proofErr w:type="spellStart"/>
      <w:r>
        <w:t>Enterobacterales</w:t>
      </w:r>
      <w:proofErr w:type="spellEnd"/>
      <w:r>
        <w:t xml:space="preserve"> comprised about 89% of isolates and E. coli around 69% in adults; fosfomycin and nitrofurantoin retained the highest activity against E. coli (around 98% susceptibility), supporting their use as fir</w:t>
      </w:r>
      <w:r>
        <w:t>st-line empirical agents.</w:t>
      </w:r>
      <w:r>
        <w:rPr>
          <w:vertAlign w:val="superscript"/>
        </w:rPr>
        <w:t>1</w:t>
      </w:r>
      <w:r>
        <w:t xml:space="preserve"> A Kazakh paediatric cohort from Karaganda similarly found E. coli the leading </w:t>
      </w:r>
      <w:proofErr w:type="spellStart"/>
      <w:r>
        <w:t>uropathogen</w:t>
      </w:r>
      <w:proofErr w:type="spellEnd"/>
      <w:r>
        <w:t>, with substantial multidrug resistance increasing with age.</w:t>
      </w:r>
      <w:r>
        <w:rPr>
          <w:vertAlign w:val="superscript"/>
        </w:rPr>
        <w:t>2</w:t>
      </w:r>
      <w:r>
        <w:t xml:space="preserve"> Rising resistance to older agents such as aminopenicillins and co-trimoxazole </w:t>
      </w:r>
      <w:r>
        <w:t>limits their empirical use and underscores the value of local surveillance.</w:t>
      </w:r>
    </w:p>
    <w:p w14:paraId="26FAD6C6" w14:textId="77777777" w:rsidR="00614D92" w:rsidRDefault="00665D4A">
      <w:pPr>
        <w:spacing w:after="160" w:line="276" w:lineRule="auto"/>
        <w:jc w:val="both"/>
      </w:pPr>
      <w:r>
        <w:t>Antimicrobial resistance is the defining contemporary challenge in UTI management and links the individual episode to a population-level threat. Globally, a substantial fraction of</w:t>
      </w:r>
      <w:r>
        <w:t xml:space="preserve"> E. coli causing UTI shows reduced susceptibility to standard agents, and extended-spectrum beta-lactamase-producing organisms—once largely confined to hospitals—have emerged in the community, narrowing oral treatment options. For women, who experience UTI</w:t>
      </w:r>
      <w:r>
        <w:t>s repeatedly over a lifetime and accumulate antibiotic exposure accordingly, this trend is particularly consequential: prior antibiotic use and infection with resistant organisms both predict recurrence, creating a self-reinforcing cycle. In the Central As</w:t>
      </w:r>
      <w:r>
        <w:t>ian context, where over-the-counter antibiotic access and incomplete courses may be common, stewardship is both a clinical and a public-health priority, and reliable local susceptibility data—of the kind DARMIS-2018 began to provide—are essential to keep e</w:t>
      </w:r>
      <w:r>
        <w:t>mpirical therapy effective.</w:t>
      </w:r>
      <w:r>
        <w:rPr>
          <w:vertAlign w:val="superscript"/>
        </w:rPr>
        <w:t>1,8</w:t>
      </w:r>
    </w:p>
    <w:p w14:paraId="000E1EAF" w14:textId="77777777" w:rsidR="00614D92" w:rsidRDefault="00665D4A">
      <w:pPr>
        <w:pStyle w:val="Heading2"/>
      </w:pPr>
      <w:r>
        <w:t>3.4 HIV: burden among women in the region</w:t>
      </w:r>
    </w:p>
    <w:p w14:paraId="38BBCE41" w14:textId="77777777" w:rsidR="00614D92" w:rsidRDefault="00665D4A">
      <w:pPr>
        <w:spacing w:after="160" w:line="276" w:lineRule="auto"/>
        <w:jc w:val="both"/>
      </w:pPr>
      <w:r>
        <w:t>HIV presents an entirely different epidemiological profile. Eastern Europe and Central Asia is one of the few world regions where the epidemic is still growing: UNAIDS estimated aroun</w:t>
      </w:r>
      <w:r>
        <w:t>d 140,000 new HIV infections in the region in 2023, a 20% increase since 2010, with AIDS-related deaths up 34% over the same period and only about half of people living with HIV on treatment.</w:t>
      </w:r>
      <w:r>
        <w:rPr>
          <w:vertAlign w:val="superscript"/>
        </w:rPr>
        <w:t>3,10</w:t>
      </w:r>
      <w:r>
        <w:t xml:space="preserve"> Four countries, including Kazakhstan and Uzbekistan, account</w:t>
      </w:r>
      <w:r>
        <w:t xml:space="preserve"> for the large majority of new registered cases in the region. Roughly one in three to one in four registered HIV cases in the Central Asian republics are women.</w:t>
      </w:r>
      <w:r>
        <w:rPr>
          <w:vertAlign w:val="superscript"/>
        </w:rPr>
        <w:t>4</w:t>
      </w:r>
    </w:p>
    <w:p w14:paraId="17E473AD" w14:textId="77777777" w:rsidR="00614D92" w:rsidRDefault="00665D4A">
      <w:pPr>
        <w:spacing w:after="160" w:line="276" w:lineRule="auto"/>
        <w:jc w:val="both"/>
      </w:pPr>
      <w:r>
        <w:t>The epidemic has been driven historically by injection drug use, reflecting the region’s posi</w:t>
      </w:r>
      <w:r>
        <w:t xml:space="preserve">tion along major drug-trafficking routes, with up to three-quarters of cumulative cases linked to </w:t>
      </w:r>
      <w:r>
        <w:lastRenderedPageBreak/>
        <w:t>injecting; more recently, sexual transmission has assumed a growing share.</w:t>
      </w:r>
      <w:r>
        <w:rPr>
          <w:vertAlign w:val="superscript"/>
        </w:rPr>
        <w:t>4,5</w:t>
      </w:r>
      <w:r>
        <w:t xml:space="preserve"> For women specifically, acquisition is most often linked to injecting—their own </w:t>
      </w:r>
      <w:r>
        <w:t>or that of male partners. In an Almaty study of female partners of men who inject drugs, HIV prevalence was about 30% among women who themselves injected and about 10% among non-injecting female partners, with hepatitis C far higher still—figures that loca</w:t>
      </w:r>
      <w:r>
        <w:t>te women’s risk squarely in the context of drug use and partnership rather than hygiene.</w:t>
      </w:r>
      <w:r>
        <w:rPr>
          <w:vertAlign w:val="superscript"/>
        </w:rPr>
        <w:t>11</w:t>
      </w:r>
    </w:p>
    <w:p w14:paraId="32366FB7" w14:textId="77777777" w:rsidR="00614D92" w:rsidRDefault="00665D4A">
      <w:pPr>
        <w:spacing w:after="160" w:line="276" w:lineRule="auto"/>
        <w:jc w:val="both"/>
      </w:pPr>
      <w:r>
        <w:t>The regional trajectory is sobering. Eastern Europe and Central Asia is one of only a few regions worldwide where both new infections and AIDS-related deaths continu</w:t>
      </w:r>
      <w:r>
        <w:t>e to rise, and where treatment coverage and viral suppression lag global averages—only around half of people living with HIV in the region are on treatment, and viral suppression is among the lowest in the world.</w:t>
      </w:r>
      <w:r>
        <w:rPr>
          <w:vertAlign w:val="superscript"/>
        </w:rPr>
        <w:t>10</w:t>
      </w:r>
      <w:r>
        <w:t xml:space="preserve"> The overwhelming majority of new infectio</w:t>
      </w:r>
      <w:r>
        <w:t>ns occur among members of key populations and their sexual partners. Because surveillance relies partly on self-report, and because injecting carries heavy stigma, injection-related acquisition may be underreported and sexual transmission correspondingly o</w:t>
      </w:r>
      <w:r>
        <w:t>verattributed—an interpretive caution that applies to much of the regional data on women.</w:t>
      </w:r>
      <w:r>
        <w:rPr>
          <w:vertAlign w:val="superscript"/>
        </w:rPr>
        <w:t>12</w:t>
      </w:r>
    </w:p>
    <w:p w14:paraId="6D689E56" w14:textId="77777777" w:rsidR="00614D92" w:rsidRDefault="00665D4A">
      <w:pPr>
        <w:pStyle w:val="Heading2"/>
      </w:pPr>
      <w:r>
        <w:t>3.5 HIV: behavioural and structural risk factors</w:t>
      </w:r>
    </w:p>
    <w:p w14:paraId="618F47CB" w14:textId="77777777" w:rsidR="00614D92" w:rsidRDefault="00665D4A">
      <w:pPr>
        <w:spacing w:after="160" w:line="276" w:lineRule="auto"/>
        <w:jc w:val="both"/>
      </w:pPr>
      <w:r>
        <w:t>The risk factors for HIV in Central Asian women are sexual and parenteral, not hygienic. They include sharing of co</w:t>
      </w:r>
      <w:r>
        <w:t>ntaminated injecting equipment; unprotected sex, particularly with partners who inject drugs or who have other risk exposures; sex work, which carries elevated prevalence; and the structural conditions that amplify these exposures.</w:t>
      </w:r>
      <w:r>
        <w:rPr>
          <w:vertAlign w:val="superscript"/>
        </w:rPr>
        <w:t>4,5</w:t>
      </w:r>
      <w:r>
        <w:t xml:space="preserve"> Across the wider regi</w:t>
      </w:r>
      <w:r>
        <w:t>on, the great majority of new infections occur among members of key populations—people who inject drugs, sex workers, men who have sex with men, people in prisons—and their sexual partners, the category into which most affected women fall.</w:t>
      </w:r>
    </w:p>
    <w:p w14:paraId="50C22F01" w14:textId="77777777" w:rsidR="00614D92" w:rsidRDefault="00665D4A">
      <w:pPr>
        <w:spacing w:after="160" w:line="276" w:lineRule="auto"/>
        <w:jc w:val="both"/>
      </w:pPr>
      <w:r>
        <w:t>Structural and g</w:t>
      </w:r>
      <w:r>
        <w:t>endered factors are decisive. Limited access to harm-reduction services, opioid substitution therapy, and antiretroviral therapy; criminalisation of drug use and sex work; stigma; and gender inequality in negotiating condom use all heighten women’s vulnera</w:t>
      </w:r>
      <w:r>
        <w:t>bility and impede prevention. In several regional studies, fewer than one in five women at risk had accessed HIV education, services, or harm-reduction programmes.</w:t>
      </w:r>
      <w:r>
        <w:rPr>
          <w:vertAlign w:val="superscript"/>
        </w:rPr>
        <w:t>5,11</w:t>
      </w:r>
      <w:r>
        <w:t xml:space="preserve"> Underreporting of injecting, owing to stigma, may also lead to </w:t>
      </w:r>
      <w:proofErr w:type="spellStart"/>
      <w:r>
        <w:t>overattribution</w:t>
      </w:r>
      <w:proofErr w:type="spellEnd"/>
      <w:r>
        <w:t xml:space="preserve"> of infect</w:t>
      </w:r>
      <w:r>
        <w:t>ion to sexual transmission, complicating surveillance. The unifying theme is that HIV risk in these women is produced by behavioural exposure compounded by structural disadvantage—not by personal cleanliness.</w:t>
      </w:r>
    </w:p>
    <w:p w14:paraId="449227A8" w14:textId="77777777" w:rsidR="00614D92" w:rsidRDefault="00665D4A">
      <w:pPr>
        <w:spacing w:after="160" w:line="276" w:lineRule="auto"/>
        <w:jc w:val="both"/>
      </w:pPr>
      <w:r>
        <w:t>Partnership dynamics are central to women’s ris</w:t>
      </w:r>
      <w:r>
        <w:t>k. Many women who inject drugs have male partners who also inject, while many men who inject have non-injecting female partners; in both configurations, women are exposed through their partners’ behaviour as well as their own. This dependence means that in</w:t>
      </w:r>
      <w:r>
        <w:t>terventions directed only at individual women, without engaging their partners or the couple, are likely to fall short. Mobility and migration add further complexity: labour migration—common across the region—can separate partners, introduce new sexual net</w:t>
      </w:r>
      <w:r>
        <w:t>works, and interrupt access to testing and treatment, while incarceration concentrates HIV and hepatitis C among people who inject drugs and amplifies transmission on release.</w:t>
      </w:r>
      <w:r>
        <w:rPr>
          <w:vertAlign w:val="superscript"/>
        </w:rPr>
        <w:t>4,5</w:t>
      </w:r>
      <w:r>
        <w:t xml:space="preserve"> The intersecting epidemic of other sexually transmitted infections, notably s</w:t>
      </w:r>
      <w:r>
        <w:t>yphilis, further facilitates sexual HIV transmission to bridging populations. These dynamics underline that women’s HIV risk is embedded in social networks and structures, not in hygiene.</w:t>
      </w:r>
    </w:p>
    <w:p w14:paraId="36084042" w14:textId="77777777" w:rsidR="00614D92" w:rsidRDefault="00665D4A">
      <w:pPr>
        <w:spacing w:before="120" w:after="80"/>
      </w:pPr>
      <w:r>
        <w:rPr>
          <w:b/>
          <w:bCs/>
          <w:sz w:val="20"/>
          <w:szCs w:val="20"/>
        </w:rPr>
        <w:lastRenderedPageBreak/>
        <w:t>Table 1. Contrasting risk-factor profiles: UTI versus HIV in women.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14D92" w14:paraId="151A257A" w14:textId="77777777">
        <w:trPr>
          <w:tblHeader/>
        </w:trPr>
        <w:tc>
          <w:tcPr>
            <w:tcW w:w="312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7595F0DA" w14:textId="77777777" w:rsidR="00614D92" w:rsidRDefault="00665D4A">
            <w:r>
              <w:rPr>
                <w:b/>
                <w:bCs/>
                <w:color w:val="FFFFFF"/>
                <w:sz w:val="20"/>
                <w:szCs w:val="20"/>
              </w:rPr>
              <w:t>Dimension</w:t>
            </w:r>
          </w:p>
        </w:tc>
        <w:tc>
          <w:tcPr>
            <w:tcW w:w="312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1445C2F9" w14:textId="77777777" w:rsidR="00614D92" w:rsidRDefault="00665D4A">
            <w:r>
              <w:rPr>
                <w:b/>
                <w:bCs/>
                <w:color w:val="FFFFFF"/>
                <w:sz w:val="20"/>
                <w:szCs w:val="20"/>
              </w:rPr>
              <w:t>UTI</w:t>
            </w:r>
          </w:p>
        </w:tc>
        <w:tc>
          <w:tcPr>
            <w:tcW w:w="3120" w:type="dxa"/>
            <w:tcBorders>
              <w:top w:val="single" w:sz="1" w:space="0" w:color="BFBFBF"/>
              <w:left w:val="single" w:sz="1" w:space="0" w:color="BFBFBF"/>
              <w:bottom w:val="single" w:sz="1" w:space="0" w:color="BFBFBF"/>
              <w:right w:val="single" w:sz="1" w:space="0" w:color="BFBFBF"/>
            </w:tcBorders>
            <w:shd w:val="clear" w:color="auto" w:fill="1F4E79"/>
            <w:tcMar>
              <w:top w:w="80" w:type="dxa"/>
              <w:left w:w="120" w:type="dxa"/>
              <w:bottom w:w="80" w:type="dxa"/>
              <w:right w:w="120" w:type="dxa"/>
            </w:tcMar>
          </w:tcPr>
          <w:p w14:paraId="535593F6" w14:textId="77777777" w:rsidR="00614D92" w:rsidRDefault="00665D4A">
            <w:r>
              <w:rPr>
                <w:b/>
                <w:bCs/>
                <w:color w:val="FFFFFF"/>
                <w:sz w:val="20"/>
                <w:szCs w:val="20"/>
              </w:rPr>
              <w:t>HIV</w:t>
            </w:r>
          </w:p>
        </w:tc>
      </w:tr>
      <w:tr w:rsidR="00614D92" w14:paraId="38DFE5C3"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71C7C62" w14:textId="77777777" w:rsidR="00614D92" w:rsidRDefault="00665D4A">
            <w:r>
              <w:rPr>
                <w:sz w:val="20"/>
                <w:szCs w:val="20"/>
              </w:rPr>
              <w:t>Transmission / cause</w:t>
            </w:r>
          </w:p>
        </w:tc>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0ADC84E3" w14:textId="77777777" w:rsidR="00614D92" w:rsidRDefault="00665D4A">
            <w:r>
              <w:rPr>
                <w:sz w:val="20"/>
                <w:szCs w:val="20"/>
              </w:rPr>
              <w:t>Ascending bacterial (E. coli)</w:t>
            </w:r>
          </w:p>
        </w:tc>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48E29E4E" w14:textId="77777777" w:rsidR="00614D92" w:rsidRDefault="00665D4A">
            <w:r>
              <w:rPr>
                <w:sz w:val="20"/>
                <w:szCs w:val="20"/>
              </w:rPr>
              <w:t>Sexual / parenteral / vertical</w:t>
            </w:r>
          </w:p>
        </w:tc>
      </w:tr>
      <w:tr w:rsidR="00614D92" w14:paraId="639499A5" w14:textId="77777777">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007E3200" w14:textId="77777777" w:rsidR="00614D92" w:rsidRDefault="00665D4A">
            <w:r>
              <w:rPr>
                <w:sz w:val="20"/>
                <w:szCs w:val="20"/>
              </w:rPr>
              <w:t>Hygiene relevance</w:t>
            </w:r>
          </w:p>
        </w:tc>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0450DA68" w14:textId="77777777" w:rsidR="00614D92" w:rsidRDefault="00665D4A">
            <w:r>
              <w:rPr>
                <w:sz w:val="20"/>
                <w:szCs w:val="20"/>
              </w:rPr>
              <w:t>Partial (voiding, hydration)</w:t>
            </w:r>
          </w:p>
        </w:tc>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CD7884C" w14:textId="77777777" w:rsidR="00614D92" w:rsidRDefault="00665D4A">
            <w:r>
              <w:rPr>
                <w:sz w:val="20"/>
                <w:szCs w:val="20"/>
              </w:rPr>
              <w:t>Not a hygiene disease</w:t>
            </w:r>
          </w:p>
        </w:tc>
      </w:tr>
      <w:tr w:rsidR="00614D92" w14:paraId="0E4F5AEB"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56D742D1" w14:textId="77777777" w:rsidR="00614D92" w:rsidRDefault="00665D4A">
            <w:r>
              <w:rPr>
                <w:sz w:val="20"/>
                <w:szCs w:val="20"/>
              </w:rPr>
              <w:t>Key behavioural factors</w:t>
            </w:r>
          </w:p>
        </w:tc>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1B2B356D" w14:textId="77777777" w:rsidR="00614D92" w:rsidRDefault="00665D4A">
            <w:r>
              <w:rPr>
                <w:sz w:val="20"/>
                <w:szCs w:val="20"/>
              </w:rPr>
              <w:t>Sexual activity, voiding, contraception</w:t>
            </w:r>
          </w:p>
        </w:tc>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63AD66D8" w14:textId="77777777" w:rsidR="00614D92" w:rsidRDefault="00665D4A">
            <w:r>
              <w:rPr>
                <w:sz w:val="20"/>
                <w:szCs w:val="20"/>
              </w:rPr>
              <w:t xml:space="preserve">Injecting, </w:t>
            </w:r>
            <w:r>
              <w:rPr>
                <w:sz w:val="20"/>
                <w:szCs w:val="20"/>
              </w:rPr>
              <w:t>unprotected sex, sex work</w:t>
            </w:r>
          </w:p>
        </w:tc>
      </w:tr>
      <w:tr w:rsidR="00614D92" w14:paraId="2C7DD8AB" w14:textId="77777777">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155F92CF" w14:textId="77777777" w:rsidR="00614D92" w:rsidRDefault="00665D4A">
            <w:r>
              <w:rPr>
                <w:sz w:val="20"/>
                <w:szCs w:val="20"/>
              </w:rPr>
              <w:t>Main prevention</w:t>
            </w:r>
          </w:p>
        </w:tc>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0E8FD3D6" w14:textId="77777777" w:rsidR="00614D92" w:rsidRDefault="00665D4A">
            <w:r>
              <w:rPr>
                <w:sz w:val="20"/>
                <w:szCs w:val="20"/>
              </w:rPr>
              <w:t>Behaviour, stewardship, oestrogen</w:t>
            </w:r>
          </w:p>
        </w:tc>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3EBE7AE7" w14:textId="77777777" w:rsidR="00614D92" w:rsidRDefault="00665D4A">
            <w:r>
              <w:rPr>
                <w:sz w:val="20"/>
                <w:szCs w:val="20"/>
              </w:rPr>
              <w:t xml:space="preserve">Harm reduction, condoms, ART, </w:t>
            </w:r>
            <w:proofErr w:type="spellStart"/>
            <w:r>
              <w:rPr>
                <w:sz w:val="20"/>
                <w:szCs w:val="20"/>
              </w:rPr>
              <w:t>PrEP</w:t>
            </w:r>
            <w:proofErr w:type="spellEnd"/>
          </w:p>
        </w:tc>
      </w:tr>
      <w:tr w:rsidR="00614D92" w14:paraId="7F7A7E82" w14:textId="77777777">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72EDEF69" w14:textId="77777777" w:rsidR="00614D92" w:rsidRDefault="00665D4A">
            <w:r>
              <w:rPr>
                <w:sz w:val="20"/>
                <w:szCs w:val="20"/>
              </w:rPr>
              <w:t>Shared determinants</w:t>
            </w:r>
          </w:p>
        </w:tc>
        <w:tc>
          <w:tcPr>
            <w:tcW w:w="312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14:paraId="2D068070" w14:textId="77777777" w:rsidR="00614D92" w:rsidRDefault="00665D4A">
            <w:r>
              <w:rPr>
                <w:sz w:val="20"/>
                <w:szCs w:val="20"/>
              </w:rPr>
              <w:t>Gender, poverty, access, stigma</w:t>
            </w:r>
          </w:p>
        </w:tc>
        <w:tc>
          <w:tcPr>
            <w:tcW w:w="3120" w:type="dxa"/>
            <w:tcBorders>
              <w:top w:val="single" w:sz="1" w:space="0" w:color="BFBFBF"/>
              <w:left w:val="single" w:sz="1" w:space="0" w:color="BFBFBF"/>
              <w:bottom w:val="single" w:sz="1" w:space="0" w:color="BFBFBF"/>
              <w:right w:val="single" w:sz="1" w:space="0" w:color="BFBFBF"/>
            </w:tcBorders>
            <w:shd w:val="clear" w:color="auto" w:fill="F2F6FA"/>
            <w:tcMar>
              <w:top w:w="80" w:type="dxa"/>
              <w:left w:w="120" w:type="dxa"/>
              <w:bottom w:w="80" w:type="dxa"/>
              <w:right w:w="120" w:type="dxa"/>
            </w:tcMar>
          </w:tcPr>
          <w:p w14:paraId="6D7A14BD" w14:textId="77777777" w:rsidR="00614D92" w:rsidRDefault="00665D4A">
            <w:r>
              <w:rPr>
                <w:sz w:val="20"/>
                <w:szCs w:val="20"/>
              </w:rPr>
              <w:t>Gender, poverty, access, stigma</w:t>
            </w:r>
          </w:p>
        </w:tc>
      </w:tr>
    </w:tbl>
    <w:p w14:paraId="195437FE" w14:textId="77777777" w:rsidR="00614D92" w:rsidRDefault="00614D92">
      <w:pPr>
        <w:spacing w:after="200"/>
      </w:pPr>
    </w:p>
    <w:p w14:paraId="4EF4BB01" w14:textId="77777777" w:rsidR="00614D92" w:rsidRDefault="00665D4A">
      <w:pPr>
        <w:pStyle w:val="Heading2"/>
      </w:pPr>
      <w:r>
        <w:t>3.7 Prevention strategies for each condition</w:t>
      </w:r>
    </w:p>
    <w:p w14:paraId="1DB6E3E4" w14:textId="77777777" w:rsidR="00614D92" w:rsidRDefault="00665D4A">
      <w:pPr>
        <w:spacing w:after="160" w:line="276" w:lineRule="auto"/>
        <w:jc w:val="both"/>
      </w:pPr>
      <w:r>
        <w:t xml:space="preserve">Because the </w:t>
      </w:r>
      <w:r>
        <w:t>two conditions differ in cause, their prevention differs in content. For UTI, the evidence-based levers are behavioural and clinical: adequate hydration, regular and complete voiding, reconsideration of spermicide or diaphragm use in women with recurrent i</w:t>
      </w:r>
      <w:r>
        <w:t>nfection, topical vaginal oestrogen in postmenopausal women, and—where appropriate—prophylactic or self-start antibiotic strategies used judiciously to avoid driving resistance.</w:t>
      </w:r>
      <w:r>
        <w:rPr>
          <w:vertAlign w:val="superscript"/>
        </w:rPr>
        <w:t>8,9</w:t>
      </w:r>
      <w:r>
        <w:t xml:space="preserve"> Non-antibiotic approaches and vaccines are under active investigation. Anti</w:t>
      </w:r>
      <w:r>
        <w:t>microbial stewardship, guided by local susceptibility data favouring nitrofurantoin and fosfomycin in this region, is itself a preventive measure, preserving the agents on which treatment depends.</w:t>
      </w:r>
    </w:p>
    <w:p w14:paraId="0C516318" w14:textId="77777777" w:rsidR="00614D92" w:rsidRDefault="00665D4A">
      <w:pPr>
        <w:spacing w:after="160" w:line="276" w:lineRule="auto"/>
        <w:jc w:val="both"/>
      </w:pPr>
      <w:r>
        <w:t>For HIV, prevention is a different toolkit altogether: need</w:t>
      </w:r>
      <w:r>
        <w:t>le and syringe programmes and opioid substitution therapy to reduce parenteral transmission; condom promotion and access; voluntary HIV testing and counselling; pre-exposure prophylaxis for those at substantial risk; and prompt antiretroviral therapy, whic</w:t>
      </w:r>
      <w:r>
        <w:t>h both protects health and, by suppressing viral load, prevents onward transmission (treatment as prevention). For women in the region, the priority is extending these services to women who inject drugs and to the female partners of men who inject—groups t</w:t>
      </w:r>
      <w:r>
        <w:t>hat, as regional studies show, are reached poorly, with fewer than one in five accessing relevant services in some samples.</w:t>
      </w:r>
      <w:r>
        <w:rPr>
          <w:vertAlign w:val="superscript"/>
        </w:rPr>
        <w:t>5,11</w:t>
      </w:r>
      <w:r>
        <w:t xml:space="preserve"> Prevention of vertical transmission through antenatal testing and treatment is a further, well-established component.</w:t>
      </w:r>
    </w:p>
    <w:p w14:paraId="29534B37" w14:textId="77777777" w:rsidR="00614D92" w:rsidRDefault="00665D4A">
      <w:pPr>
        <w:spacing w:after="160" w:line="276" w:lineRule="auto"/>
        <w:jc w:val="both"/>
      </w:pPr>
      <w:r>
        <w:t>The effect</w:t>
      </w:r>
      <w:r>
        <w:t>iveness of these tools is well established, which makes the region’s lagging coverage all the more consequential. With only about half of people living with HIV in Eastern Europe and Central Asia on treatment and viral suppression among the lowest globally</w:t>
      </w:r>
      <w:r>
        <w:t>, large numbers remain both at risk of progression and capable of transmitting the virus.</w:t>
      </w:r>
      <w:r>
        <w:rPr>
          <w:vertAlign w:val="superscript"/>
        </w:rPr>
        <w:t>10</w:t>
      </w:r>
      <w:r>
        <w:t xml:space="preserve"> Closing this gap turns on the treatment-and-prevention cascade: testing people so they know their status, linking them promptly to antiretroviral therapy, and suppo</w:t>
      </w:r>
      <w:r>
        <w:t>rting adherence to durable viral suppression. Each step is undermined by the structural barriers discussed above, so expanding biomedical prevention cannot be separated from reforming the legal and social environment. For women specifically, antenatal serv</w:t>
      </w:r>
      <w:r>
        <w:t xml:space="preserve">ices represent a high-coverage point of contact that can be leveraged for testing and linkage, while harm-reduction and community-led outreach are needed to reach those outside routine care. The contrast with UTI prevention is instructive: where UTI turns </w:t>
      </w:r>
      <w:r>
        <w:lastRenderedPageBreak/>
        <w:t>largely on individual behaviour and clinical practice, HIV prevention for women turns on access, equity, and the reach of services into marginalised populations.</w:t>
      </w:r>
    </w:p>
    <w:p w14:paraId="7B7938FF" w14:textId="77777777" w:rsidR="00614D92" w:rsidRDefault="00665D4A">
      <w:pPr>
        <w:pStyle w:val="Heading2"/>
      </w:pPr>
      <w:r>
        <w:t>3.8 Shared social and structural determinants</w:t>
      </w:r>
    </w:p>
    <w:p w14:paraId="748C7B6E" w14:textId="77777777" w:rsidR="00614D92" w:rsidRDefault="00665D4A">
      <w:pPr>
        <w:spacing w:after="160" w:line="276" w:lineRule="auto"/>
        <w:jc w:val="both"/>
      </w:pPr>
      <w:r>
        <w:t xml:space="preserve">Although their proximate causes differ, the two </w:t>
      </w:r>
      <w:r>
        <w:t>conditions share important upstream determinants. Gender inequality constrains women’s ability to negotiate safer sex and to access timely care; poverty and unemployment correlate with worse outcomes in both; and limited reach of health services—whether fo</w:t>
      </w:r>
      <w:r>
        <w:t>r UTI diagnosis and prudent antibiotic use or for HIV testing, harm reduction, and treatment—affects both. Stigma operates in each domain, deterring women from seeking care for genital or sexual-health symptoms and from disclosing drug use or HIV status.</w:t>
      </w:r>
      <w:r>
        <w:rPr>
          <w:vertAlign w:val="superscript"/>
        </w:rPr>
        <w:t>5,</w:t>
      </w:r>
      <w:r>
        <w:rPr>
          <w:vertAlign w:val="superscript"/>
        </w:rPr>
        <w:t>11</w:t>
      </w:r>
      <w:r>
        <w:t xml:space="preserve"> These shared determinants explain why the two can sensibly be addressed through common service platforms—women’s and sexual-and-reproductive-health services—even though the specific interventions differ.</w:t>
      </w:r>
    </w:p>
    <w:p w14:paraId="4C682146" w14:textId="77777777" w:rsidR="00614D92" w:rsidRDefault="00665D4A">
      <w:pPr>
        <w:spacing w:after="160" w:line="276" w:lineRule="auto"/>
        <w:jc w:val="both"/>
      </w:pPr>
      <w:r>
        <w:t>Structural barriers are especially salient for HI</w:t>
      </w:r>
      <w:r>
        <w:t>V. All countries in the region criminalise some aspect of sex work, many criminalise HIV non-disclosure or transmission, and several criminalise possession of small amounts of drugs—laws that, combined with aggressive policing and stigma, push key populati</w:t>
      </w:r>
      <w:r>
        <w:t>ons away from services and concentrate infection within marginalised and incarcerated groups.</w:t>
      </w:r>
      <w:r>
        <w:rPr>
          <w:vertAlign w:val="superscript"/>
        </w:rPr>
        <w:t>3</w:t>
      </w:r>
      <w:r>
        <w:t xml:space="preserve"> For women, these structural forces intersect with gender-based power imbalances and economic dependence, limiting their capacity to protect themselves. Addressin</w:t>
      </w:r>
      <w:r>
        <w:t>g such determinants is not peripheral to disease control; it is central to it, and it benefits women’s health well beyond these two conditions.</w:t>
      </w:r>
    </w:p>
    <w:p w14:paraId="51D14D13" w14:textId="77777777" w:rsidR="00614D92" w:rsidRDefault="00665D4A">
      <w:pPr>
        <w:pStyle w:val="Heading1"/>
      </w:pPr>
      <w:r>
        <w:t>4. Discussion</w:t>
      </w:r>
    </w:p>
    <w:p w14:paraId="6586B927" w14:textId="77777777" w:rsidR="00614D92" w:rsidRDefault="00665D4A">
      <w:pPr>
        <w:spacing w:after="160" w:line="276" w:lineRule="auto"/>
        <w:jc w:val="both"/>
      </w:pPr>
      <w:r>
        <w:t>The central message of this synthesis is one of appropriate distinction. UTIs and HIV are both maj</w:t>
      </w:r>
      <w:r>
        <w:t>or contributors to the infectious-disease burden of Central Asian women, but they demand different explanatory frameworks and different prevention strategies. For UTI, lifestyle and hygiene factors—voiding behaviour, hydration, sexual activity, contracepti</w:t>
      </w:r>
      <w:r>
        <w:t>ve method, and post-menopausal change—are legitimate targets, alongside antimicrobial stewardship to preserve the effectiveness of first-line agents such as nitrofurantoin and fosfomycin.</w:t>
      </w:r>
      <w:r>
        <w:rPr>
          <w:vertAlign w:val="superscript"/>
        </w:rPr>
        <w:t>1,8</w:t>
      </w:r>
    </w:p>
    <w:p w14:paraId="7C79F28B" w14:textId="77777777" w:rsidR="00614D92" w:rsidRDefault="00665D4A">
      <w:pPr>
        <w:spacing w:after="160" w:line="276" w:lineRule="auto"/>
        <w:jc w:val="both"/>
      </w:pPr>
      <w:r>
        <w:t xml:space="preserve">For HIV, by contrast, prevention rests on harm reduction (needle </w:t>
      </w:r>
      <w:r>
        <w:t xml:space="preserve">and syringe programmes, opioid substitution therapy), condom access, HIV testing, pre-exposure prophylaxis, and prompt antiretroviral treatment that both preserves health and prevents onward transmission. Because women in the region are most often exposed </w:t>
      </w:r>
      <w:r>
        <w:t>through injecting or through male partners who inject, services must reach women who inject drugs and the female partners of men who inject—populations that current programmes serve poorly.</w:t>
      </w:r>
      <w:r>
        <w:rPr>
          <w:vertAlign w:val="superscript"/>
        </w:rPr>
        <w:t>5,11</w:t>
      </w:r>
      <w:r>
        <w:t xml:space="preserve"> Attempting to address HIV through hygiene promotion would be n</w:t>
      </w:r>
      <w:r>
        <w:t>ot only ineffective but actively harmful, reinforcing stigma while leaving the true drivers untouched.</w:t>
      </w:r>
    </w:p>
    <w:p w14:paraId="6D5AB57B" w14:textId="77777777" w:rsidR="00614D92" w:rsidRDefault="00665D4A">
      <w:pPr>
        <w:spacing w:after="160" w:line="276" w:lineRule="auto"/>
        <w:jc w:val="both"/>
      </w:pPr>
      <w:r>
        <w:t>The shared determinants nonetheless create genuine opportunities for integration. Women’s-health and sexual-and-reproductive-health platforms can simulta</w:t>
      </w:r>
      <w:r>
        <w:t xml:space="preserve">neously deliver UTI care and education, HIV testing and prevention counselling, contraception, and referral to harm-reduction and treatment services. Integrating these reduces missed opportunities and can lower the stigma attached to any single service by </w:t>
      </w:r>
      <w:r>
        <w:t xml:space="preserve">embedding it within routine women’s health care. </w:t>
      </w:r>
      <w:r>
        <w:lastRenderedPageBreak/>
        <w:t>Addressing the structural determinants—gender inequality, poverty, punitive drug and sex-work laws, and service gaps—would benefit both conditions and women’s health more broadly.</w:t>
      </w:r>
      <w:r>
        <w:rPr>
          <w:vertAlign w:val="superscript"/>
        </w:rPr>
        <w:t>3,5</w:t>
      </w:r>
    </w:p>
    <w:p w14:paraId="4BF11A9B" w14:textId="77777777" w:rsidR="00614D92" w:rsidRDefault="00665D4A">
      <w:pPr>
        <w:spacing w:after="160" w:line="276" w:lineRule="auto"/>
        <w:jc w:val="both"/>
      </w:pPr>
      <w:r>
        <w:t>Implementing such integr</w:t>
      </w:r>
      <w:r>
        <w:t>ation requires care to avoid the very conflation this article cautions against. An integrated women’s-health visit might appropriately include UTI assessment, contraceptive counselling, and an offer of HIV testing—but the messaging for each must remain acc</w:t>
      </w:r>
      <w:r>
        <w:t>urate to its biology: hydration and voiding advice for UTI; condom use, harm reduction, and testing for HIV. The common platform is organisational, not conceptual. Community-led services, which have proved effective in reaching key populations elsewhere in</w:t>
      </w:r>
      <w:r>
        <w:t xml:space="preserve"> the region, may be particularly valuable for engaging women who inject drugs or who are partners of men who inject, populations that formal health services reach poorly. Task-sharing with trained non-specialist providers, mobile and outreach models, and t</w:t>
      </w:r>
      <w:r>
        <w:t>he protection of confidentiality are practical enablers. The goal is a service that meets a woman wherever she presents, addresses the range of her health needs without judgement, and routes her efficiently to condition-appropriate prevention and treatment</w:t>
      </w:r>
      <w:r>
        <w:t>.</w:t>
      </w:r>
    </w:p>
    <w:p w14:paraId="7B968DF0" w14:textId="77777777" w:rsidR="00614D92" w:rsidRDefault="00665D4A">
      <w:pPr>
        <w:spacing w:after="160" w:line="276" w:lineRule="auto"/>
        <w:jc w:val="both"/>
      </w:pPr>
      <w:r>
        <w:t xml:space="preserve">Several limitations apply. This is a synthesis of published aggregate data, not a primary study, so figures reflect the definitions, settings, and periods of their sources and are not directly pooled. Regional evidence is uneven: robust UTI surveillance </w:t>
      </w:r>
      <w:r>
        <w:t>(DARMIS-2018) is multinational rather than country-specific and partly dated, while HIV behavioural data derive largely from studies of people who inject drugs and their partners and may not represent all women. HIV surveillance is further complicated by u</w:t>
      </w:r>
      <w:r>
        <w:t>nderreporting of injecting due to stigma, which can distort attribution of transmission route.</w:t>
      </w:r>
      <w:r>
        <w:rPr>
          <w:vertAlign w:val="superscript"/>
        </w:rPr>
        <w:t>12</w:t>
      </w:r>
      <w:r>
        <w:t xml:space="preserve"> Readers requiring definitive national estimates should treat this synthesis as context and substitute primary, ethically approved local data.</w:t>
      </w:r>
    </w:p>
    <w:p w14:paraId="59D02406" w14:textId="77777777" w:rsidR="00614D92" w:rsidRDefault="00665D4A">
      <w:pPr>
        <w:spacing w:after="160" w:line="276" w:lineRule="auto"/>
        <w:jc w:val="both"/>
      </w:pPr>
      <w:r>
        <w:t>These gaps define</w:t>
      </w:r>
      <w:r>
        <w:t xml:space="preserve"> a research agenda. For UTI, the region would benefit from contemporary, nationally representative surveillance of </w:t>
      </w:r>
      <w:proofErr w:type="spellStart"/>
      <w:r>
        <w:t>uropathogen</w:t>
      </w:r>
      <w:proofErr w:type="spellEnd"/>
      <w:r>
        <w:t xml:space="preserve"> prevalence and susceptibility in adult women, disaggregated by age, pregnancy status, and community versus hospital origin, to ke</w:t>
      </w:r>
      <w:r>
        <w:t>ep empirical guidelines current. For HIV, better sex-disaggregated data on incidence and transmission route among women—capturing both their own and their partners’ exposures—would sharpen prevention, as would studies of service access and the barriers wom</w:t>
      </w:r>
      <w:r>
        <w:t xml:space="preserve">en face. Across both, research that examines the shared social determinants—and that evaluates integrated, women-centred service models—would help convert the conceptual case for integration into evidence-based practice. Importantly, such research must be </w:t>
      </w:r>
      <w:r>
        <w:t>designed and reported in ways that respect the dignity of the women studied, avoiding the stigmatising framings that have historically attached to both genital infection and HIV.</w:t>
      </w:r>
    </w:p>
    <w:p w14:paraId="2102F357" w14:textId="77777777" w:rsidR="00614D92" w:rsidRDefault="00665D4A">
      <w:pPr>
        <w:pStyle w:val="Heading1"/>
      </w:pPr>
      <w:r>
        <w:t>5. Conclusion</w:t>
      </w:r>
    </w:p>
    <w:p w14:paraId="093E1F6F" w14:textId="77777777" w:rsidR="00614D92" w:rsidRDefault="00665D4A">
      <w:pPr>
        <w:spacing w:after="160" w:line="276" w:lineRule="auto"/>
        <w:jc w:val="both"/>
      </w:pPr>
      <w:r>
        <w:t>Urinary tract infections and HIV both weigh heavily on the heal</w:t>
      </w:r>
      <w:r>
        <w:t>th of women in Central Asia, yet they are different diseases requiring different responses. UTIs are common bacterial infections in which hygiene and lifestyle factors play a genuine, if sometimes overstated, role, and in which rising antimicrobial resista</w:t>
      </w:r>
      <w:r>
        <w:t>nce makes stewardship and local surveillance priorities. HIV is a sexually and parenterally transmitted viral infection whose drivers among women in the region are injecting drug use, sexual exposure to partners at risk, and the structural conditions of st</w:t>
      </w:r>
      <w:r>
        <w:t xml:space="preserve">igma, criminalisation, and limited service access—not hygiene. Effective action therefore </w:t>
      </w:r>
      <w:r>
        <w:lastRenderedPageBreak/>
        <w:t>means biologically appropriate, condition-specific prevention—behavioural and stewardship measures for UTI; harm reduction, condoms, testing, and treatment for HIV—de</w:t>
      </w:r>
      <w:r>
        <w:t>livered where possible through integrated women’s-health platforms and underpinned by efforts to dismantle the shared social and structural determinants of women’s vulnerability. Above all, the conditions must not be conflated: attributing HIV to hygiene i</w:t>
      </w:r>
      <w:r>
        <w:t>s both scientifically wrong and harmful, and clarity on this point is itself a contribution to better women’s health in the region.</w:t>
      </w:r>
    </w:p>
    <w:p w14:paraId="2F489C19" w14:textId="77777777" w:rsidR="00614D92" w:rsidRDefault="00665D4A">
      <w:pPr>
        <w:pStyle w:val="Heading1"/>
      </w:pPr>
      <w:r>
        <w:t>Declarations</w:t>
      </w:r>
    </w:p>
    <w:p w14:paraId="0F993C75" w14:textId="77777777" w:rsidR="00614D92" w:rsidRDefault="00665D4A">
      <w:pPr>
        <w:spacing w:after="160" w:line="276" w:lineRule="auto"/>
        <w:jc w:val="both"/>
      </w:pPr>
      <w:r>
        <w:rPr>
          <w:b/>
          <w:bCs/>
        </w:rPr>
        <w:t xml:space="preserve">Funding. </w:t>
      </w:r>
      <w:r>
        <w:t>The author(s) received no specific funding for this work.</w:t>
      </w:r>
    </w:p>
    <w:p w14:paraId="04B11206" w14:textId="77777777" w:rsidR="00614D92" w:rsidRDefault="00665D4A">
      <w:pPr>
        <w:spacing w:after="160" w:line="276" w:lineRule="auto"/>
        <w:jc w:val="both"/>
      </w:pPr>
      <w:r>
        <w:rPr>
          <w:b/>
          <w:bCs/>
        </w:rPr>
        <w:t xml:space="preserve">Conflicts of interest. </w:t>
      </w:r>
      <w:r>
        <w:t>The author(s) declare</w:t>
      </w:r>
      <w:r>
        <w:t xml:space="preserve"> no competing interests.</w:t>
      </w:r>
    </w:p>
    <w:p w14:paraId="180D2887" w14:textId="77777777" w:rsidR="00614D92" w:rsidRDefault="00665D4A">
      <w:pPr>
        <w:spacing w:after="160" w:line="276" w:lineRule="auto"/>
        <w:jc w:val="both"/>
      </w:pPr>
      <w:r>
        <w:rPr>
          <w:b/>
          <w:bCs/>
        </w:rPr>
        <w:t xml:space="preserve">Ethics approval. </w:t>
      </w:r>
      <w:r>
        <w:t>Not applicable; this synthesis used only published, aggregate, de-identified data.</w:t>
      </w:r>
    </w:p>
    <w:p w14:paraId="4BD88D4C" w14:textId="77777777" w:rsidR="00614D92" w:rsidRDefault="00665D4A">
      <w:pPr>
        <w:pStyle w:val="Heading1"/>
      </w:pPr>
      <w:r>
        <w:t>References</w:t>
      </w:r>
    </w:p>
    <w:p w14:paraId="4DB176AC" w14:textId="77777777" w:rsidR="00614D92" w:rsidRDefault="00665D4A">
      <w:pPr>
        <w:spacing w:after="100" w:line="264" w:lineRule="auto"/>
        <w:ind w:left="360" w:hanging="360"/>
        <w:jc w:val="both"/>
      </w:pPr>
      <w:r>
        <w:t xml:space="preserve">1. </w:t>
      </w:r>
      <w:proofErr w:type="spellStart"/>
      <w:r>
        <w:t>Palagin</w:t>
      </w:r>
      <w:proofErr w:type="spellEnd"/>
      <w:r>
        <w:t xml:space="preserve"> IS, </w:t>
      </w:r>
      <w:proofErr w:type="spellStart"/>
      <w:r>
        <w:t>Sukhorukova</w:t>
      </w:r>
      <w:proofErr w:type="spellEnd"/>
      <w:r>
        <w:t xml:space="preserve"> MV, </w:t>
      </w:r>
      <w:proofErr w:type="spellStart"/>
      <w:r>
        <w:t>Dekhnich</w:t>
      </w:r>
      <w:proofErr w:type="spellEnd"/>
      <w:r>
        <w:t xml:space="preserve"> AV, et al. Current state of antibiotic resistance of pathogens causing community</w:t>
      </w:r>
      <w:r>
        <w:t xml:space="preserve">-acquired urinary tract infections in Russia, Belarus and Kazakhstan: results of the multicentre study DARMIS-2018. </w:t>
      </w:r>
      <w:proofErr w:type="spellStart"/>
      <w:r>
        <w:t>Urologiia</w:t>
      </w:r>
      <w:proofErr w:type="spellEnd"/>
      <w:r>
        <w:t>. 2019;(6):29–39.</w:t>
      </w:r>
    </w:p>
    <w:p w14:paraId="2C228B10" w14:textId="77777777" w:rsidR="00614D92" w:rsidRDefault="00665D4A">
      <w:pPr>
        <w:spacing w:after="100" w:line="264" w:lineRule="auto"/>
        <w:ind w:left="360" w:hanging="360"/>
        <w:jc w:val="both"/>
      </w:pPr>
      <w:r>
        <w:t>2. Authors. Current trends in antibiotic resistance patterns of pathogens in urinary tract infections in children</w:t>
      </w:r>
      <w:r>
        <w:t xml:space="preserve"> in Karaganda, Kazakhstan (2017–2022). [Journal]. 2024.</w:t>
      </w:r>
    </w:p>
    <w:p w14:paraId="443DB1D7" w14:textId="77777777" w:rsidR="00614D92" w:rsidRDefault="00665D4A">
      <w:pPr>
        <w:spacing w:after="100" w:line="264" w:lineRule="auto"/>
        <w:ind w:left="360" w:hanging="360"/>
        <w:jc w:val="both"/>
      </w:pPr>
      <w:r>
        <w:t>3. Joint United Nations Programme on HIV/AIDS (UNAIDS). The Urgency of Now: AIDS at a Crossroads – Eastern Europe and Central Asia regional profile. Geneva: UNAIDS; 2024.</w:t>
      </w:r>
    </w:p>
    <w:p w14:paraId="0DDC5475" w14:textId="77777777" w:rsidR="00614D92" w:rsidRDefault="00665D4A">
      <w:pPr>
        <w:spacing w:after="100" w:line="264" w:lineRule="auto"/>
        <w:ind w:left="360" w:hanging="360"/>
        <w:jc w:val="both"/>
      </w:pPr>
      <w:r>
        <w:t xml:space="preserve">4. Thorne C, </w:t>
      </w:r>
      <w:proofErr w:type="spellStart"/>
      <w:r>
        <w:t>Ferencic</w:t>
      </w:r>
      <w:proofErr w:type="spellEnd"/>
      <w:r>
        <w:t xml:space="preserve"> N, </w:t>
      </w:r>
      <w:proofErr w:type="spellStart"/>
      <w:r>
        <w:t>Maly</w:t>
      </w:r>
      <w:r>
        <w:t>uta</w:t>
      </w:r>
      <w:proofErr w:type="spellEnd"/>
      <w:r>
        <w:t xml:space="preserve"> R, Mimica J, Niemiec T. Central Asia: hotspot in the worldwide HIV epidemic. Lancet Infect Dis. 2010;10(7):479–488.</w:t>
      </w:r>
    </w:p>
    <w:p w14:paraId="58A0CDB1" w14:textId="77777777" w:rsidR="00614D92" w:rsidRDefault="00665D4A">
      <w:pPr>
        <w:spacing w:after="100" w:line="264" w:lineRule="auto"/>
        <w:ind w:left="360" w:hanging="360"/>
        <w:jc w:val="both"/>
      </w:pPr>
      <w:r>
        <w:t xml:space="preserve">5. Authors. Patterns of drug and sexual HIV transmission risk </w:t>
      </w:r>
      <w:proofErr w:type="spellStart"/>
      <w:r>
        <w:t>behaviors</w:t>
      </w:r>
      <w:proofErr w:type="spellEnd"/>
      <w:r>
        <w:t xml:space="preserve"> among men and women who inject drugs and are living with HIV in </w:t>
      </w:r>
      <w:r>
        <w:t xml:space="preserve">Kazakhstan. Drug Alcohol Depend / J </w:t>
      </w:r>
      <w:proofErr w:type="spellStart"/>
      <w:r>
        <w:t>Subst</w:t>
      </w:r>
      <w:proofErr w:type="spellEnd"/>
      <w:r>
        <w:t xml:space="preserve"> Use. 2025.</w:t>
      </w:r>
    </w:p>
    <w:p w14:paraId="2BFFDA31" w14:textId="77777777" w:rsidR="00614D92" w:rsidRDefault="00665D4A">
      <w:pPr>
        <w:spacing w:after="100" w:line="264" w:lineRule="auto"/>
        <w:ind w:left="360" w:hanging="360"/>
        <w:jc w:val="both"/>
      </w:pPr>
      <w:r>
        <w:t>6. Medina M, Castillo-Pino E. An introduction to the epidemiology and burden of urinary tract infections. Ther Adv Urol. 2019;11:1756287219832172.</w:t>
      </w:r>
    </w:p>
    <w:p w14:paraId="116249F1" w14:textId="77777777" w:rsidR="00614D92" w:rsidRDefault="00665D4A">
      <w:pPr>
        <w:spacing w:after="100" w:line="264" w:lineRule="auto"/>
        <w:ind w:left="360" w:hanging="360"/>
        <w:jc w:val="both"/>
      </w:pPr>
      <w:r>
        <w:t xml:space="preserve">7. Flores-Mireles AL, Walker JN, </w:t>
      </w:r>
      <w:proofErr w:type="spellStart"/>
      <w:r>
        <w:t>Caparon</w:t>
      </w:r>
      <w:proofErr w:type="spellEnd"/>
      <w:r>
        <w:t xml:space="preserve"> M, </w:t>
      </w:r>
      <w:proofErr w:type="spellStart"/>
      <w:r>
        <w:t>Hultgren</w:t>
      </w:r>
      <w:proofErr w:type="spellEnd"/>
      <w:r>
        <w:t xml:space="preserve"> SJ.</w:t>
      </w:r>
      <w:r>
        <w:t xml:space="preserve"> Urinary tract infections: epidemiology, mechanisms of infection and treatment options. Nat Rev </w:t>
      </w:r>
      <w:proofErr w:type="spellStart"/>
      <w:r>
        <w:t>Microbiol</w:t>
      </w:r>
      <w:proofErr w:type="spellEnd"/>
      <w:r>
        <w:t>. 2015;13(5):269–284.</w:t>
      </w:r>
    </w:p>
    <w:p w14:paraId="02BB689D" w14:textId="77777777" w:rsidR="00614D92" w:rsidRDefault="00665D4A">
      <w:pPr>
        <w:spacing w:after="100" w:line="264" w:lineRule="auto"/>
        <w:ind w:left="360" w:hanging="360"/>
        <w:jc w:val="both"/>
      </w:pPr>
      <w:r>
        <w:t>8. Gupta K, Hooton TM, Naber KG, et al. International clinical practice guidelines for the treatment of acute uncomplicated cysti</w:t>
      </w:r>
      <w:r>
        <w:t>tis and pyelonephritis in women. Clin Infect Dis. 2011;52(5):e103–e120.</w:t>
      </w:r>
    </w:p>
    <w:p w14:paraId="6AA8FC24" w14:textId="77777777" w:rsidR="00614D92" w:rsidRDefault="00665D4A">
      <w:pPr>
        <w:spacing w:after="100" w:line="264" w:lineRule="auto"/>
        <w:ind w:left="360" w:hanging="360"/>
        <w:jc w:val="both"/>
      </w:pPr>
      <w:r>
        <w:t xml:space="preserve">9. Hooton TM. Recurrent urinary tract infection in women. </w:t>
      </w:r>
      <w:proofErr w:type="spellStart"/>
      <w:r>
        <w:t>Int</w:t>
      </w:r>
      <w:proofErr w:type="spellEnd"/>
      <w:r>
        <w:t xml:space="preserve"> J </w:t>
      </w:r>
      <w:proofErr w:type="spellStart"/>
      <w:r>
        <w:t>Antimicrob</w:t>
      </w:r>
      <w:proofErr w:type="spellEnd"/>
      <w:r>
        <w:t xml:space="preserve"> Agents. 2001;17(4):259–268.</w:t>
      </w:r>
    </w:p>
    <w:p w14:paraId="6FDDD841" w14:textId="77777777" w:rsidR="00614D92" w:rsidRDefault="00665D4A">
      <w:pPr>
        <w:spacing w:after="100" w:line="264" w:lineRule="auto"/>
        <w:ind w:left="360" w:hanging="360"/>
        <w:jc w:val="both"/>
      </w:pPr>
      <w:r>
        <w:t>10. UNAIDS. Stigma, criminalization and under-investment are driving rises in new</w:t>
      </w:r>
      <w:r>
        <w:t xml:space="preserve"> HIV infections in Eastern Europe and Central Asia [press release]. Geneva: UNAIDS; 2024 Jul 22.</w:t>
      </w:r>
    </w:p>
    <w:p w14:paraId="2CBE2B07" w14:textId="77777777" w:rsidR="00614D92" w:rsidRDefault="00665D4A">
      <w:pPr>
        <w:spacing w:after="100" w:line="264" w:lineRule="auto"/>
        <w:ind w:left="360" w:hanging="360"/>
        <w:jc w:val="both"/>
      </w:pPr>
      <w:r>
        <w:lastRenderedPageBreak/>
        <w:t xml:space="preserve">11. Gilbert L, </w:t>
      </w:r>
      <w:proofErr w:type="spellStart"/>
      <w:r>
        <w:t>Primbetova</w:t>
      </w:r>
      <w:proofErr w:type="spellEnd"/>
      <w:r>
        <w:t xml:space="preserve"> S, </w:t>
      </w:r>
      <w:proofErr w:type="spellStart"/>
      <w:r>
        <w:t>Nikitin</w:t>
      </w:r>
      <w:proofErr w:type="spellEnd"/>
      <w:r>
        <w:t xml:space="preserve"> D, et al. HIV risks among injecting and non-injecting female partners of men who inject drugs in Almaty, Kazakhstan. Int J</w:t>
      </w:r>
      <w:r>
        <w:t xml:space="preserve"> Drug Policy. 2015;26(1):91–98.</w:t>
      </w:r>
    </w:p>
    <w:p w14:paraId="1685774C" w14:textId="77777777" w:rsidR="00614D92" w:rsidRDefault="00665D4A">
      <w:pPr>
        <w:spacing w:after="100" w:line="264" w:lineRule="auto"/>
        <w:ind w:left="360" w:hanging="360"/>
        <w:jc w:val="both"/>
      </w:pPr>
      <w:r>
        <w:t xml:space="preserve">12. El-Bassel N, et al. Underreported injection drug use and its potential contribution to reported increase in sexual transmission of HIV in Kazakhstan and Kyrgyzstan. Harm </w:t>
      </w:r>
      <w:proofErr w:type="spellStart"/>
      <w:r>
        <w:t>Reduct</w:t>
      </w:r>
      <w:proofErr w:type="spellEnd"/>
      <w:r>
        <w:t xml:space="preserve"> J. 2018;15:62.</w:t>
      </w:r>
    </w:p>
    <w:sectPr w:rsidR="00614D92" w:rsidSect="006B6863">
      <w:headerReference w:type="default" r:id="rId8"/>
      <w:footerReference w:type="default" r:id="rId9"/>
      <w:pgSz w:w="12240" w:h="15840"/>
      <w:pgMar w:top="1440" w:right="1440" w:bottom="1440" w:left="1440" w:header="708" w:footer="708" w:gutter="0"/>
      <w:pgNumType w:start="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FFD45" w14:textId="77777777" w:rsidR="00665D4A" w:rsidRDefault="00665D4A">
      <w:r>
        <w:separator/>
      </w:r>
    </w:p>
  </w:endnote>
  <w:endnote w:type="continuationSeparator" w:id="0">
    <w:p w14:paraId="465E9202" w14:textId="77777777" w:rsidR="00665D4A" w:rsidRDefault="0066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39147" w14:textId="77777777" w:rsidR="00614D92" w:rsidRDefault="00665D4A">
    <w:pPr>
      <w:tabs>
        <w:tab w:val="right" w:pos="9026"/>
      </w:tabs>
    </w:pPr>
    <w:r>
      <w:rPr>
        <w:color w:val="808080"/>
        <w:sz w:val="16"/>
        <w:szCs w:val="16"/>
      </w:rPr>
      <w:t>Risk Factors for UTI and HIV Among Women in Central Asia</w:t>
    </w:r>
    <w:r>
      <w:rPr>
        <w:sz w:val="16"/>
        <w:szCs w:val="16"/>
      </w:rPr>
      <w:tab/>
    </w:r>
    <w:r>
      <w:rPr>
        <w:color w:val="808080"/>
        <w:sz w:val="16"/>
        <w:szCs w:val="16"/>
      </w:rPr>
      <w:t xml:space="preserve">Page </w:t>
    </w:r>
    <w:r>
      <w:rPr>
        <w:color w:val="808080"/>
        <w:sz w:val="16"/>
        <w:szCs w:val="16"/>
      </w:rPr>
      <w:fldChar w:fldCharType="begin"/>
    </w:r>
    <w:r>
      <w:rPr>
        <w:color w:val="808080"/>
        <w:sz w:val="16"/>
        <w:szCs w:val="16"/>
      </w:rPr>
      <w:instrText>PAGE</w:instrText>
    </w:r>
    <w:r>
      <w:rPr>
        <w:color w:val="808080"/>
        <w:sz w:val="16"/>
        <w:szCs w:val="16"/>
      </w:rPr>
      <w:fldChar w:fldCharType="separate"/>
    </w:r>
    <w:r w:rsidR="001F7F57">
      <w:rPr>
        <w:noProof/>
        <w:color w:val="808080"/>
        <w:sz w:val="16"/>
        <w:szCs w:val="16"/>
      </w:rPr>
      <w:t>38</w:t>
    </w:r>
    <w:r>
      <w:rPr>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2D83C" w14:textId="77777777" w:rsidR="00665D4A" w:rsidRDefault="00665D4A">
      <w:r>
        <w:separator/>
      </w:r>
    </w:p>
  </w:footnote>
  <w:footnote w:type="continuationSeparator" w:id="0">
    <w:p w14:paraId="2F197362" w14:textId="77777777" w:rsidR="00665D4A" w:rsidRDefault="00665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DA8E0" w14:textId="77777777" w:rsidR="00614D92" w:rsidRDefault="00665D4A">
    <w:pPr>
      <w:pBdr>
        <w:bottom w:val="single" w:sz="4" w:space="2" w:color="BFBFBF"/>
      </w:pBdr>
    </w:pPr>
    <w:r>
      <w:rPr>
        <w:color w:val="808080"/>
        <w:sz w:val="16"/>
        <w:szCs w:val="16"/>
      </w:rPr>
      <w:t>Annals of Clinical Medicine and Health Research · Vol 1, No 1,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B6060"/>
    <w:multiLevelType w:val="hybridMultilevel"/>
    <w:tmpl w:val="17742520"/>
    <w:lvl w:ilvl="0" w:tplc="BB449900">
      <w:start w:val="1"/>
      <w:numFmt w:val="bullet"/>
      <w:lvlText w:val="●"/>
      <w:lvlJc w:val="left"/>
      <w:pPr>
        <w:ind w:left="720" w:hanging="360"/>
      </w:pPr>
    </w:lvl>
    <w:lvl w:ilvl="1" w:tplc="037856D2">
      <w:start w:val="1"/>
      <w:numFmt w:val="bullet"/>
      <w:lvlText w:val="○"/>
      <w:lvlJc w:val="left"/>
      <w:pPr>
        <w:ind w:left="1440" w:hanging="360"/>
      </w:pPr>
    </w:lvl>
    <w:lvl w:ilvl="2" w:tplc="11E4DE12">
      <w:start w:val="1"/>
      <w:numFmt w:val="bullet"/>
      <w:lvlText w:val="■"/>
      <w:lvlJc w:val="left"/>
      <w:pPr>
        <w:ind w:left="2160" w:hanging="360"/>
      </w:pPr>
    </w:lvl>
    <w:lvl w:ilvl="3" w:tplc="E4BCB636">
      <w:start w:val="1"/>
      <w:numFmt w:val="bullet"/>
      <w:lvlText w:val="●"/>
      <w:lvlJc w:val="left"/>
      <w:pPr>
        <w:ind w:left="2880" w:hanging="360"/>
      </w:pPr>
    </w:lvl>
    <w:lvl w:ilvl="4" w:tplc="C37E56D6">
      <w:start w:val="1"/>
      <w:numFmt w:val="bullet"/>
      <w:lvlText w:val="○"/>
      <w:lvlJc w:val="left"/>
      <w:pPr>
        <w:ind w:left="3600" w:hanging="360"/>
      </w:pPr>
    </w:lvl>
    <w:lvl w:ilvl="5" w:tplc="E32E1D52">
      <w:start w:val="1"/>
      <w:numFmt w:val="bullet"/>
      <w:lvlText w:val="■"/>
      <w:lvlJc w:val="left"/>
      <w:pPr>
        <w:ind w:left="4320" w:hanging="360"/>
      </w:pPr>
    </w:lvl>
    <w:lvl w:ilvl="6" w:tplc="1CB83D52">
      <w:start w:val="1"/>
      <w:numFmt w:val="bullet"/>
      <w:lvlText w:val="●"/>
      <w:lvlJc w:val="left"/>
      <w:pPr>
        <w:ind w:left="5040" w:hanging="360"/>
      </w:pPr>
    </w:lvl>
    <w:lvl w:ilvl="7" w:tplc="C83C21DE">
      <w:start w:val="1"/>
      <w:numFmt w:val="bullet"/>
      <w:lvlText w:val="●"/>
      <w:lvlJc w:val="left"/>
      <w:pPr>
        <w:ind w:left="5760" w:hanging="360"/>
      </w:pPr>
    </w:lvl>
    <w:lvl w:ilvl="8" w:tplc="CBCCDA4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92"/>
    <w:rsid w:val="001F7F57"/>
    <w:rsid w:val="002C06F2"/>
    <w:rsid w:val="00506AB7"/>
    <w:rsid w:val="00614D92"/>
    <w:rsid w:val="00665D4A"/>
    <w:rsid w:val="006B6863"/>
    <w:rsid w:val="00C047BE"/>
    <w:rsid w:val="00C233E3"/>
    <w:rsid w:val="00D700CA"/>
    <w:rsid w:val="00E07D9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40"/>
      <w:outlineLvl w:val="0"/>
    </w:pPr>
    <w:rPr>
      <w:b/>
      <w:bCs/>
      <w:color w:val="1F4E79"/>
      <w:sz w:val="28"/>
      <w:szCs w:val="28"/>
    </w:rPr>
  </w:style>
  <w:style w:type="paragraph" w:styleId="Heading2">
    <w:name w:val="heading 2"/>
    <w:uiPriority w:val="9"/>
    <w:unhideWhenUsed/>
    <w:qFormat/>
    <w:pPr>
      <w:spacing w:before="200" w:after="100"/>
      <w:outlineLvl w:val="1"/>
    </w:pPr>
    <w:rPr>
      <w:b/>
      <w:bCs/>
      <w:color w:val="2E2E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6863"/>
    <w:pPr>
      <w:tabs>
        <w:tab w:val="center" w:pos="4513"/>
        <w:tab w:val="right" w:pos="9026"/>
      </w:tabs>
    </w:pPr>
  </w:style>
  <w:style w:type="character" w:customStyle="1" w:styleId="HeaderChar">
    <w:name w:val="Header Char"/>
    <w:basedOn w:val="DefaultParagraphFont"/>
    <w:link w:val="Header"/>
    <w:uiPriority w:val="99"/>
    <w:rsid w:val="006B6863"/>
  </w:style>
  <w:style w:type="paragraph" w:styleId="Footer">
    <w:name w:val="footer"/>
    <w:basedOn w:val="Normal"/>
    <w:link w:val="FooterChar"/>
    <w:uiPriority w:val="99"/>
    <w:unhideWhenUsed/>
    <w:rsid w:val="006B6863"/>
    <w:pPr>
      <w:tabs>
        <w:tab w:val="center" w:pos="4513"/>
        <w:tab w:val="right" w:pos="9026"/>
      </w:tabs>
    </w:pPr>
  </w:style>
  <w:style w:type="character" w:customStyle="1" w:styleId="FooterChar">
    <w:name w:val="Footer Char"/>
    <w:basedOn w:val="DefaultParagraphFont"/>
    <w:link w:val="Footer"/>
    <w:uiPriority w:val="99"/>
    <w:rsid w:val="006B6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40"/>
      <w:outlineLvl w:val="0"/>
    </w:pPr>
    <w:rPr>
      <w:b/>
      <w:bCs/>
      <w:color w:val="1F4E79"/>
      <w:sz w:val="28"/>
      <w:szCs w:val="28"/>
    </w:rPr>
  </w:style>
  <w:style w:type="paragraph" w:styleId="Heading2">
    <w:name w:val="heading 2"/>
    <w:uiPriority w:val="9"/>
    <w:unhideWhenUsed/>
    <w:qFormat/>
    <w:pPr>
      <w:spacing w:before="200" w:after="100"/>
      <w:outlineLvl w:val="1"/>
    </w:pPr>
    <w:rPr>
      <w:b/>
      <w:bCs/>
      <w:color w:val="2E2E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6863"/>
    <w:pPr>
      <w:tabs>
        <w:tab w:val="center" w:pos="4513"/>
        <w:tab w:val="right" w:pos="9026"/>
      </w:tabs>
    </w:pPr>
  </w:style>
  <w:style w:type="character" w:customStyle="1" w:styleId="HeaderChar">
    <w:name w:val="Header Char"/>
    <w:basedOn w:val="DefaultParagraphFont"/>
    <w:link w:val="Header"/>
    <w:uiPriority w:val="99"/>
    <w:rsid w:val="006B6863"/>
  </w:style>
  <w:style w:type="paragraph" w:styleId="Footer">
    <w:name w:val="footer"/>
    <w:basedOn w:val="Normal"/>
    <w:link w:val="FooterChar"/>
    <w:uiPriority w:val="99"/>
    <w:unhideWhenUsed/>
    <w:rsid w:val="006B6863"/>
    <w:pPr>
      <w:tabs>
        <w:tab w:val="center" w:pos="4513"/>
        <w:tab w:val="right" w:pos="9026"/>
      </w:tabs>
    </w:pPr>
  </w:style>
  <w:style w:type="character" w:customStyle="1" w:styleId="FooterChar">
    <w:name w:val="Footer Char"/>
    <w:basedOn w:val="DefaultParagraphFont"/>
    <w:link w:val="Footer"/>
    <w:uiPriority w:val="99"/>
    <w:rsid w:val="006B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7</cp:revision>
  <cp:lastPrinted>2026-06-11T12:59:00Z</cp:lastPrinted>
  <dcterms:created xsi:type="dcterms:W3CDTF">2026-06-09T22:19:00Z</dcterms:created>
  <dcterms:modified xsi:type="dcterms:W3CDTF">2026-06-11T12:59:00Z</dcterms:modified>
</cp:coreProperties>
</file>